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5C81" w14:textId="0F119277" w:rsidR="000E79BB" w:rsidRDefault="00F55DB8" w:rsidP="00F55DB8">
      <w:pPr>
        <w:jc w:val="center"/>
        <w:rPr>
          <w:rFonts w:ascii="Avenir Next" w:hAnsi="Avenir Next"/>
          <w:b/>
          <w:bCs/>
          <w:sz w:val="22"/>
          <w:szCs w:val="22"/>
        </w:rPr>
      </w:pPr>
      <w:r w:rsidRPr="00F55DB8">
        <w:rPr>
          <w:rFonts w:ascii="Avenir Next" w:hAnsi="Avenir Next"/>
          <w:b/>
          <w:bCs/>
          <w:sz w:val="22"/>
          <w:szCs w:val="22"/>
        </w:rPr>
        <w:t xml:space="preserve">University of Utah </w:t>
      </w:r>
      <w:r w:rsidR="000E79BB">
        <w:rPr>
          <w:rFonts w:ascii="Avenir Next" w:hAnsi="Avenir Next"/>
          <w:b/>
          <w:bCs/>
          <w:sz w:val="22"/>
          <w:szCs w:val="22"/>
        </w:rPr>
        <w:t>National Institutes of Health (</w:t>
      </w:r>
      <w:r w:rsidR="00FD1EC1" w:rsidRPr="00F55DB8">
        <w:rPr>
          <w:rFonts w:ascii="Avenir Next" w:hAnsi="Avenir Next"/>
          <w:b/>
          <w:bCs/>
          <w:sz w:val="22"/>
          <w:szCs w:val="22"/>
        </w:rPr>
        <w:t>NIH</w:t>
      </w:r>
      <w:r w:rsidR="000E79BB">
        <w:rPr>
          <w:rFonts w:ascii="Avenir Next" w:hAnsi="Avenir Next"/>
          <w:b/>
          <w:bCs/>
          <w:sz w:val="22"/>
          <w:szCs w:val="22"/>
        </w:rPr>
        <w:t>)</w:t>
      </w:r>
      <w:r w:rsidR="00FD1EC1" w:rsidRPr="00F55DB8">
        <w:rPr>
          <w:rFonts w:ascii="Avenir Next" w:hAnsi="Avenir Next"/>
          <w:b/>
          <w:bCs/>
          <w:sz w:val="22"/>
          <w:szCs w:val="22"/>
        </w:rPr>
        <w:t xml:space="preserve"> </w:t>
      </w:r>
    </w:p>
    <w:p w14:paraId="11FB2088" w14:textId="5000DDC3" w:rsidR="008B18A4" w:rsidRPr="00F55DB8" w:rsidRDefault="00FD1EC1" w:rsidP="00F55DB8">
      <w:pPr>
        <w:jc w:val="center"/>
        <w:rPr>
          <w:rFonts w:ascii="Avenir Next" w:hAnsi="Avenir Next"/>
          <w:b/>
          <w:bCs/>
          <w:sz w:val="22"/>
          <w:szCs w:val="22"/>
        </w:rPr>
      </w:pPr>
      <w:r w:rsidRPr="00F55DB8">
        <w:rPr>
          <w:rFonts w:ascii="Avenir Next" w:hAnsi="Avenir Next"/>
          <w:b/>
          <w:bCs/>
          <w:sz w:val="22"/>
          <w:szCs w:val="22"/>
        </w:rPr>
        <w:t>Plan for Enhancing Diverse Perspectives (PEDP)</w:t>
      </w:r>
      <w:r w:rsidR="00F55DB8" w:rsidRPr="00F55DB8">
        <w:rPr>
          <w:rFonts w:ascii="Avenir Next" w:hAnsi="Avenir Next"/>
          <w:b/>
          <w:bCs/>
          <w:sz w:val="22"/>
          <w:szCs w:val="22"/>
        </w:rPr>
        <w:t xml:space="preserve"> Guide</w:t>
      </w:r>
    </w:p>
    <w:p w14:paraId="4D5D10F7" w14:textId="34FF2BAB" w:rsidR="00F55DB8" w:rsidRDefault="00F55DB8" w:rsidP="002A726F">
      <w:pPr>
        <w:pStyle w:val="NormalWeb"/>
        <w:shd w:val="clear" w:color="auto" w:fill="FFFFFF"/>
        <w:spacing w:before="0" w:beforeAutospacing="0"/>
        <w:rPr>
          <w:rFonts w:ascii="Avenir Next" w:hAnsi="Avenir Next" w:cs="Open Sans"/>
          <w:color w:val="212529"/>
          <w:sz w:val="22"/>
          <w:szCs w:val="22"/>
        </w:rPr>
      </w:pPr>
    </w:p>
    <w:p w14:paraId="6D7A63A2" w14:textId="3F53E7F4" w:rsidR="002A726F" w:rsidRPr="00F55DB8" w:rsidRDefault="00F55DB8"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b/>
          <w:bCs/>
          <w:color w:val="212529"/>
          <w:sz w:val="22"/>
          <w:szCs w:val="22"/>
        </w:rPr>
        <w:t>What is a PEDP?</w:t>
      </w:r>
      <w:r>
        <w:rPr>
          <w:rFonts w:ascii="Avenir Next" w:hAnsi="Avenir Next" w:cs="Open Sans"/>
          <w:color w:val="212529"/>
          <w:sz w:val="22"/>
          <w:szCs w:val="22"/>
        </w:rPr>
        <w:br/>
      </w:r>
      <w:r w:rsidR="002A726F" w:rsidRPr="00F55DB8">
        <w:rPr>
          <w:rFonts w:ascii="Avenir Next" w:hAnsi="Avenir Next" w:cs="Open Sans"/>
          <w:color w:val="212529"/>
          <w:sz w:val="22"/>
          <w:szCs w:val="22"/>
        </w:rPr>
        <w:t xml:space="preserve">A “Plan for Enhancing Diverse Perspectives” (PEDP) is a summary of strategies to advance the scientific and technical merit of the proposed project through inclusivity. Broadly, diverse perspectives refer to the people who do the research, the places where research is done, as well as the people who participate in the research as part of the study population. </w:t>
      </w:r>
    </w:p>
    <w:p w14:paraId="7A956B38" w14:textId="77777777"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color w:val="212529"/>
          <w:sz w:val="22"/>
          <w:szCs w:val="22"/>
        </w:rPr>
        <w:t xml:space="preserve">The PEDP is submitted as a </w:t>
      </w:r>
      <w:r w:rsidRPr="00F55DB8">
        <w:rPr>
          <w:rFonts w:ascii="Avenir Next" w:hAnsi="Avenir Next" w:cs="Open Sans"/>
          <w:b/>
          <w:bCs/>
          <w:color w:val="212529"/>
          <w:sz w:val="22"/>
          <w:szCs w:val="22"/>
        </w:rPr>
        <w:t>1-page</w:t>
      </w:r>
      <w:r w:rsidRPr="00F55DB8">
        <w:rPr>
          <w:rFonts w:ascii="Avenir Next" w:hAnsi="Avenir Next" w:cs="Open Sans"/>
          <w:color w:val="212529"/>
          <w:sz w:val="22"/>
          <w:szCs w:val="22"/>
        </w:rPr>
        <w:t xml:space="preserve"> “Other Attachment” to be included in grant applications submitted in response to specified Notices of Funding Opportunities. </w:t>
      </w:r>
    </w:p>
    <w:p w14:paraId="13359E89" w14:textId="7827EEBC" w:rsidR="008B18A4" w:rsidRPr="00F55DB8" w:rsidRDefault="008B18A4"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color w:val="212529"/>
          <w:sz w:val="22"/>
          <w:szCs w:val="22"/>
          <w:shd w:val="clear" w:color="auto" w:fill="FFFFFF"/>
        </w:rPr>
        <w:t xml:space="preserve">When required, applications submitted without such a plan will be considered incomplete and will be withdrawn prior to peer review. Evaluation of the applicant’s PEDP will be made during the peer review stages as part of the scorable criteria and during programmatic </w:t>
      </w:r>
      <w:r w:rsidR="000E79BB" w:rsidRPr="00F55DB8">
        <w:rPr>
          <w:rFonts w:ascii="Avenir Next" w:hAnsi="Avenir Next" w:cs="Open Sans"/>
          <w:color w:val="212529"/>
          <w:sz w:val="22"/>
          <w:szCs w:val="22"/>
          <w:shd w:val="clear" w:color="auto" w:fill="FFFFFF"/>
        </w:rPr>
        <w:t>reviews and</w:t>
      </w:r>
      <w:r w:rsidRPr="00F55DB8">
        <w:rPr>
          <w:rFonts w:ascii="Avenir Next" w:hAnsi="Avenir Next" w:cs="Open Sans"/>
          <w:color w:val="212529"/>
          <w:sz w:val="22"/>
          <w:szCs w:val="22"/>
          <w:shd w:val="clear" w:color="auto" w:fill="FFFFFF"/>
        </w:rPr>
        <w:t xml:space="preserve"> will be used to inform funding decisions.  </w:t>
      </w:r>
    </w:p>
    <w:p w14:paraId="72B72395" w14:textId="77777777"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color w:val="212529"/>
          <w:sz w:val="22"/>
          <w:szCs w:val="22"/>
        </w:rPr>
        <w:t xml:space="preserve">Within the Research Strategy, applicants should align their description with the PEDP strategies and milestones and are encouraged to refer to information included in the PEDP attachment. </w:t>
      </w:r>
    </w:p>
    <w:p w14:paraId="34286A11" w14:textId="41E469AF"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color w:val="212529"/>
          <w:sz w:val="22"/>
          <w:szCs w:val="22"/>
        </w:rPr>
        <w:t>In the 1-page PEDP summary, applicants are expected to show how enhancing diverse perspectives is supported throughout the application and how this strengthens the scientific and technical merit of the project (in terms of significance, investigator(s), innovation, approach, and environment), as appropriate.</w:t>
      </w:r>
    </w:p>
    <w:p w14:paraId="0D79EB8A" w14:textId="2C8688D6"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Fonts w:ascii="Avenir Next" w:hAnsi="Avenir Next" w:cs="Open Sans"/>
          <w:color w:val="212529"/>
          <w:sz w:val="22"/>
          <w:szCs w:val="22"/>
        </w:rPr>
        <w:t>It is anticipated that </w:t>
      </w:r>
      <w:r w:rsidRPr="00F55DB8">
        <w:rPr>
          <w:rStyle w:val="Strong"/>
          <w:rFonts w:ascii="Avenir Next" w:hAnsi="Avenir Next" w:cs="Open Sans"/>
          <w:color w:val="212529"/>
          <w:sz w:val="22"/>
          <w:szCs w:val="22"/>
        </w:rPr>
        <w:t>every PEDP will be unique </w:t>
      </w:r>
      <w:r w:rsidRPr="00F55DB8">
        <w:rPr>
          <w:rFonts w:ascii="Avenir Next" w:hAnsi="Avenir Next" w:cs="Open Sans"/>
          <w:color w:val="212529"/>
          <w:sz w:val="22"/>
          <w:szCs w:val="22"/>
        </w:rPr>
        <w:t xml:space="preserve">and will depend on the content and structure of the scientific aims, the required expertise, the environment, and the performance site(s). </w:t>
      </w:r>
      <w:r w:rsidR="008B18A4" w:rsidRPr="00F55DB8">
        <w:rPr>
          <w:rFonts w:ascii="Avenir Next" w:hAnsi="Avenir Next" w:cs="Open Sans"/>
          <w:color w:val="212529"/>
          <w:sz w:val="22"/>
          <w:szCs w:val="22"/>
        </w:rPr>
        <w:t>I</w:t>
      </w:r>
      <w:r w:rsidRPr="00F55DB8">
        <w:rPr>
          <w:rFonts w:ascii="Avenir Next" w:hAnsi="Avenir Next" w:cs="Open Sans"/>
          <w:color w:val="212529"/>
          <w:sz w:val="22"/>
          <w:szCs w:val="22"/>
        </w:rPr>
        <w:t>nnovative and sustainable approaches that support scientific excellence by fostering inclusive environments and practices</w:t>
      </w:r>
      <w:r w:rsidR="008B18A4" w:rsidRPr="00F55DB8">
        <w:rPr>
          <w:rFonts w:ascii="Avenir Next" w:hAnsi="Avenir Next" w:cs="Open Sans"/>
          <w:color w:val="212529"/>
          <w:sz w:val="22"/>
          <w:szCs w:val="22"/>
        </w:rPr>
        <w:t xml:space="preserve"> are encouraged.</w:t>
      </w:r>
    </w:p>
    <w:p w14:paraId="194DCD0D" w14:textId="77777777"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Style w:val="Strong"/>
          <w:rFonts w:ascii="Avenir Next" w:hAnsi="Avenir Next" w:cs="Open Sans"/>
          <w:color w:val="212529"/>
          <w:sz w:val="22"/>
          <w:szCs w:val="22"/>
        </w:rPr>
        <w:t>Key Elements </w:t>
      </w:r>
      <w:r w:rsidRPr="00F55DB8">
        <w:rPr>
          <w:rFonts w:ascii="Avenir Next" w:hAnsi="Avenir Next" w:cs="Open Sans"/>
          <w:color w:val="212529"/>
          <w:sz w:val="22"/>
          <w:szCs w:val="22"/>
        </w:rPr>
        <w:t>to be included in a PEDP for a proposed research program:</w:t>
      </w:r>
    </w:p>
    <w:p w14:paraId="58C01CE0" w14:textId="77777777" w:rsidR="002A726F" w:rsidRPr="00F55DB8" w:rsidRDefault="002A726F" w:rsidP="002A726F">
      <w:pPr>
        <w:numPr>
          <w:ilvl w:val="0"/>
          <w:numId w:val="1"/>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 xml:space="preserve">Summary of strategies (and their rationales) that advance the scientific and technical merit through expanded </w:t>
      </w:r>
      <w:proofErr w:type="gramStart"/>
      <w:r w:rsidRPr="00F55DB8">
        <w:rPr>
          <w:rFonts w:ascii="Avenir Next" w:hAnsi="Avenir Next" w:cs="Open Sans"/>
          <w:color w:val="212529"/>
          <w:sz w:val="22"/>
          <w:szCs w:val="22"/>
        </w:rPr>
        <w:t>inclusivity</w:t>
      </w:r>
      <w:proofErr w:type="gramEnd"/>
    </w:p>
    <w:p w14:paraId="5D209D35" w14:textId="77777777" w:rsidR="002A726F" w:rsidRPr="00F55DB8" w:rsidRDefault="002A726F" w:rsidP="002A726F">
      <w:pPr>
        <w:numPr>
          <w:ilvl w:val="0"/>
          <w:numId w:val="1"/>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Timeline and milestones for the PEDP</w:t>
      </w:r>
    </w:p>
    <w:p w14:paraId="6EF3F65F" w14:textId="710B9EA0" w:rsidR="008B18A4" w:rsidRPr="00F55DB8" w:rsidRDefault="002A726F" w:rsidP="00F55DB8">
      <w:pPr>
        <w:numPr>
          <w:ilvl w:val="0"/>
          <w:numId w:val="1"/>
        </w:numPr>
        <w:shd w:val="clear" w:color="auto" w:fill="FFFFFF"/>
        <w:spacing w:before="100" w:beforeAutospacing="1" w:after="100" w:afterAutospacing="1"/>
        <w:rPr>
          <w:rStyle w:val="Strong"/>
          <w:rFonts w:ascii="Avenir Next" w:hAnsi="Avenir Next" w:cs="Open Sans"/>
          <w:b w:val="0"/>
          <w:bCs w:val="0"/>
          <w:color w:val="212529"/>
          <w:sz w:val="22"/>
          <w:szCs w:val="22"/>
        </w:rPr>
      </w:pPr>
      <w:r w:rsidRPr="00F55DB8">
        <w:rPr>
          <w:rFonts w:ascii="Avenir Next" w:hAnsi="Avenir Next" w:cs="Open Sans"/>
          <w:color w:val="212529"/>
          <w:sz w:val="22"/>
          <w:szCs w:val="22"/>
        </w:rPr>
        <w:t xml:space="preserve">Approaches to assessing progress towards meeting the PEDP defined </w:t>
      </w:r>
      <w:proofErr w:type="gramStart"/>
      <w:r w:rsidRPr="00F55DB8">
        <w:rPr>
          <w:rFonts w:ascii="Avenir Next" w:hAnsi="Avenir Next" w:cs="Open Sans"/>
          <w:color w:val="212529"/>
          <w:sz w:val="22"/>
          <w:szCs w:val="22"/>
        </w:rPr>
        <w:t>goals</w:t>
      </w:r>
      <w:proofErr w:type="gramEnd"/>
    </w:p>
    <w:p w14:paraId="3B0B5817" w14:textId="79A27528" w:rsidR="008B18A4" w:rsidRPr="00F55DB8" w:rsidRDefault="008B18A4" w:rsidP="008B18A4">
      <w:pPr>
        <w:pStyle w:val="NormalWeb"/>
        <w:shd w:val="clear" w:color="auto" w:fill="FDFDFD"/>
        <w:rPr>
          <w:rFonts w:ascii="Avenir Next" w:hAnsi="Avenir Next"/>
          <w:color w:val="404B56"/>
          <w:sz w:val="22"/>
          <w:szCs w:val="22"/>
        </w:rPr>
      </w:pPr>
      <w:r w:rsidRPr="00F55DB8">
        <w:rPr>
          <w:rStyle w:val="Strong"/>
          <w:rFonts w:ascii="Avenir Next" w:hAnsi="Avenir Next"/>
          <w:color w:val="404B56"/>
          <w:sz w:val="22"/>
          <w:szCs w:val="22"/>
        </w:rPr>
        <w:t>What Do I Need to Include in a PEDP?</w:t>
      </w:r>
      <w:r w:rsidR="00F55DB8">
        <w:rPr>
          <w:rFonts w:ascii="Avenir Next" w:hAnsi="Avenir Next"/>
          <w:color w:val="404B56"/>
          <w:sz w:val="22"/>
          <w:szCs w:val="22"/>
        </w:rPr>
        <w:br/>
      </w:r>
      <w:r w:rsidRPr="00F55DB8">
        <w:rPr>
          <w:rFonts w:ascii="Avenir Next" w:hAnsi="Avenir Next"/>
          <w:color w:val="404B56"/>
          <w:sz w:val="22"/>
          <w:szCs w:val="22"/>
        </w:rPr>
        <w:t xml:space="preserve">Individuals from various types of backgrounds can contribute to a group of investigators with diverse perspectives, including geographic diversity, or transdisciplinary expertise. Further, the recruitment of diverse research participants and the inclusion of community perspectives </w:t>
      </w:r>
      <w:r w:rsidRPr="00F55DB8">
        <w:rPr>
          <w:rFonts w:ascii="Avenir Next" w:hAnsi="Avenir Next"/>
          <w:color w:val="404B56"/>
          <w:sz w:val="22"/>
          <w:szCs w:val="22"/>
        </w:rPr>
        <w:lastRenderedPageBreak/>
        <w:t>ensures that research questions are informed by patient and family perspectives and that the benefits of research have wide applicability.</w:t>
      </w:r>
    </w:p>
    <w:p w14:paraId="3D3F4924" w14:textId="77777777" w:rsidR="008B18A4" w:rsidRPr="00F55DB8" w:rsidRDefault="008B18A4" w:rsidP="008B18A4">
      <w:pPr>
        <w:pStyle w:val="NormalWeb"/>
        <w:shd w:val="clear" w:color="auto" w:fill="FDFDFD"/>
        <w:rPr>
          <w:rFonts w:ascii="Avenir Next" w:hAnsi="Avenir Next"/>
          <w:color w:val="404B56"/>
          <w:sz w:val="22"/>
          <w:szCs w:val="22"/>
        </w:rPr>
      </w:pPr>
      <w:r w:rsidRPr="00F55DB8">
        <w:rPr>
          <w:rFonts w:ascii="Avenir Next" w:hAnsi="Avenir Next"/>
          <w:color w:val="404B56"/>
          <w:sz w:val="22"/>
          <w:szCs w:val="22"/>
        </w:rPr>
        <w:t>Examples of structures that promote diverse perspectives include the following:</w:t>
      </w:r>
    </w:p>
    <w:p w14:paraId="3FE5BB4D"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Participation of investigators from diverse backgrounds, including groups historically underrepresented in the biomedical, behavioral, and clinical research workforce (see </w:t>
      </w:r>
      <w:hyperlink r:id="rId5" w:tgtFrame="_blank" w:history="1">
        <w:r w:rsidRPr="00F55DB8">
          <w:rPr>
            <w:rStyle w:val="Hyperlink"/>
            <w:rFonts w:ascii="Avenir Next" w:hAnsi="Avenir Next"/>
            <w:color w:val="246CD3"/>
            <w:sz w:val="22"/>
            <w:szCs w:val="22"/>
          </w:rPr>
          <w:t>NOT-OD-20-031</w:t>
        </w:r>
      </w:hyperlink>
      <w:r w:rsidRPr="00F55DB8">
        <w:rPr>
          <w:rFonts w:ascii="Avenir Next" w:hAnsi="Avenir Next"/>
          <w:color w:val="404B56"/>
          <w:sz w:val="22"/>
          <w:szCs w:val="22"/>
        </w:rPr>
        <w:t>), such as underrepresented racial and ethnic groups, those with disabilities, those from disadvantaged backgrounds, and women.</w:t>
      </w:r>
    </w:p>
    <w:p w14:paraId="6B4F4EEA"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Engagement with different types of institutions and organizations (e.g., </w:t>
      </w:r>
      <w:hyperlink r:id="rId6" w:tgtFrame="_blank" w:history="1">
        <w:r w:rsidRPr="00F55DB8">
          <w:rPr>
            <w:rStyle w:val="Hyperlink"/>
            <w:rFonts w:ascii="Avenir Next" w:hAnsi="Avenir Next"/>
            <w:color w:val="246CD3"/>
            <w:sz w:val="22"/>
            <w:szCs w:val="22"/>
          </w:rPr>
          <w:t>research intensive and research active</w:t>
        </w:r>
      </w:hyperlink>
      <w:r w:rsidRPr="00F55DB8">
        <w:rPr>
          <w:rFonts w:ascii="Avenir Next" w:hAnsi="Avenir Next"/>
          <w:color w:val="404B56"/>
          <w:sz w:val="22"/>
          <w:szCs w:val="22"/>
        </w:rPr>
        <w:t>, undergraduate-focused, minority-serving, community-based).</w:t>
      </w:r>
    </w:p>
    <w:p w14:paraId="5C934DF5"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Partnerships that may enhance geographic and regional diversity.</w:t>
      </w:r>
    </w:p>
    <w:p w14:paraId="1A229FE0"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Use of the project infrastructure (i.e., research and structure) to support career-enhancing research opportunities for diverse junior and early- and mid-career researchers.</w:t>
      </w:r>
    </w:p>
    <w:p w14:paraId="3D5C0F1F"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Training and mentoring opportunities encouraging participation of students, postdoctoral researchers, and co-investigators from diverse backgrounds.</w:t>
      </w:r>
    </w:p>
    <w:p w14:paraId="0FBCDB53" w14:textId="77777777" w:rsidR="008B18A4" w:rsidRPr="00F55DB8" w:rsidRDefault="008B18A4" w:rsidP="008B18A4">
      <w:pPr>
        <w:numPr>
          <w:ilvl w:val="0"/>
          <w:numId w:val="3"/>
        </w:numPr>
        <w:shd w:val="clear" w:color="auto" w:fill="FDFDFD"/>
        <w:spacing w:before="100" w:beforeAutospacing="1" w:after="100" w:afterAutospacing="1"/>
        <w:rPr>
          <w:rFonts w:ascii="Avenir Next" w:hAnsi="Avenir Next"/>
          <w:color w:val="404B56"/>
          <w:sz w:val="22"/>
          <w:szCs w:val="22"/>
        </w:rPr>
      </w:pPr>
      <w:r w:rsidRPr="00F55DB8">
        <w:rPr>
          <w:rFonts w:ascii="Avenir Next" w:hAnsi="Avenir Next"/>
          <w:color w:val="404B56"/>
          <w:sz w:val="22"/>
          <w:szCs w:val="22"/>
        </w:rPr>
        <w:t>Transdisciplinary collaborations that require unique expertise or seek diverse perspectives to address research questions.</w:t>
      </w:r>
    </w:p>
    <w:p w14:paraId="4210FC62" w14:textId="4859A960" w:rsidR="008B18A4" w:rsidRPr="00F55DB8" w:rsidRDefault="008B18A4" w:rsidP="008B18A4">
      <w:pPr>
        <w:numPr>
          <w:ilvl w:val="0"/>
          <w:numId w:val="3"/>
        </w:numPr>
        <w:shd w:val="clear" w:color="auto" w:fill="FDFDFD"/>
        <w:spacing w:before="100" w:beforeAutospacing="1" w:after="100" w:afterAutospacing="1"/>
        <w:rPr>
          <w:rStyle w:val="Strong"/>
          <w:rFonts w:ascii="Avenir Next" w:hAnsi="Avenir Next"/>
          <w:b w:val="0"/>
          <w:bCs w:val="0"/>
          <w:color w:val="404B56"/>
          <w:sz w:val="22"/>
          <w:szCs w:val="22"/>
        </w:rPr>
      </w:pPr>
      <w:r w:rsidRPr="00F55DB8">
        <w:rPr>
          <w:rFonts w:ascii="Avenir Next" w:hAnsi="Avenir Next"/>
          <w:color w:val="404B56"/>
          <w:sz w:val="22"/>
          <w:szCs w:val="22"/>
        </w:rPr>
        <w:t>Inclusion of community-based partners to ensure alignment of research goals and activities with community values.</w:t>
      </w:r>
    </w:p>
    <w:p w14:paraId="5F18F94F" w14:textId="203F93AC" w:rsidR="002A726F" w:rsidRPr="00F55DB8" w:rsidRDefault="002A726F" w:rsidP="002A726F">
      <w:pPr>
        <w:pStyle w:val="NormalWeb"/>
        <w:shd w:val="clear" w:color="auto" w:fill="FFFFFF"/>
        <w:spacing w:before="0" w:beforeAutospacing="0"/>
        <w:rPr>
          <w:rFonts w:ascii="Avenir Next" w:hAnsi="Avenir Next" w:cs="Open Sans"/>
          <w:color w:val="212529"/>
          <w:sz w:val="22"/>
          <w:szCs w:val="22"/>
        </w:rPr>
      </w:pPr>
      <w:r w:rsidRPr="00F55DB8">
        <w:rPr>
          <w:rStyle w:val="Strong"/>
          <w:rFonts w:ascii="Avenir Next" w:hAnsi="Avenir Next" w:cs="Open Sans"/>
          <w:color w:val="212529"/>
          <w:sz w:val="22"/>
          <w:szCs w:val="22"/>
        </w:rPr>
        <w:t>Examples of potential strategies </w:t>
      </w:r>
      <w:r w:rsidRPr="00F55DB8">
        <w:rPr>
          <w:rFonts w:ascii="Avenir Next" w:hAnsi="Avenir Next" w:cs="Open Sans"/>
          <w:color w:val="212529"/>
          <w:sz w:val="22"/>
          <w:szCs w:val="22"/>
        </w:rPr>
        <w:t>that advance inclusivity in alignment with research goals can include, but are not limited to:</w:t>
      </w:r>
    </w:p>
    <w:p w14:paraId="5C2137E5"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 xml:space="preserve">Inclusion of personnel (MPIs, PIs, Co-Is, </w:t>
      </w:r>
      <w:proofErr w:type="gramStart"/>
      <w:r w:rsidRPr="00F55DB8">
        <w:rPr>
          <w:rFonts w:ascii="Avenir Next" w:hAnsi="Avenir Next" w:cs="Open Sans"/>
          <w:color w:val="212529"/>
          <w:sz w:val="22"/>
          <w:szCs w:val="22"/>
        </w:rPr>
        <w:t>Consultants)…</w:t>
      </w:r>
      <w:proofErr w:type="gramEnd"/>
    </w:p>
    <w:p w14:paraId="016A3120" w14:textId="77777777" w:rsidR="002A726F" w:rsidRPr="00F55DB8" w:rsidRDefault="002A726F" w:rsidP="002A726F">
      <w:pPr>
        <w:numPr>
          <w:ilvl w:val="1"/>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…from groups </w:t>
      </w:r>
      <w:hyperlink r:id="rId7" w:history="1">
        <w:r w:rsidRPr="00F55DB8">
          <w:rPr>
            <w:rStyle w:val="Hyperlink"/>
            <w:rFonts w:ascii="Avenir Next" w:hAnsi="Avenir Next" w:cs="Open Sans"/>
            <w:color w:val="004FBA"/>
            <w:sz w:val="22"/>
            <w:szCs w:val="22"/>
          </w:rPr>
          <w:t>historically underrepresented</w:t>
        </w:r>
      </w:hyperlink>
      <w:r w:rsidRPr="00F55DB8">
        <w:rPr>
          <w:rFonts w:ascii="Avenir Next" w:hAnsi="Avenir Next" w:cs="Open Sans"/>
          <w:color w:val="212529"/>
          <w:sz w:val="22"/>
          <w:szCs w:val="22"/>
        </w:rPr>
        <w:t> in the biomedical, behavioral, and clinical research workforce (e.g. women, underrepresented racial and ethnic minorities, those with disabilities, and individuals from disadvantaged backgrounds).</w:t>
      </w:r>
    </w:p>
    <w:p w14:paraId="61EB3F70" w14:textId="77777777" w:rsidR="002A726F" w:rsidRPr="00F55DB8" w:rsidRDefault="002A726F" w:rsidP="002A726F">
      <w:pPr>
        <w:numPr>
          <w:ilvl w:val="1"/>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…located within, or who have done training within, multiple geographic locations, especially those regions underrepresented in BRAIN Initiative funding.</w:t>
      </w:r>
    </w:p>
    <w:p w14:paraId="18ED88FA" w14:textId="77777777" w:rsidR="002A726F" w:rsidRPr="00F55DB8" w:rsidRDefault="002A726F" w:rsidP="002A726F">
      <w:pPr>
        <w:numPr>
          <w:ilvl w:val="1"/>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…representing different career stages.</w:t>
      </w:r>
    </w:p>
    <w:p w14:paraId="6BACA33A" w14:textId="77777777" w:rsidR="002A726F" w:rsidRPr="00F55DB8" w:rsidRDefault="002A726F" w:rsidP="002A726F">
      <w:pPr>
        <w:numPr>
          <w:ilvl w:val="1"/>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…from different types of institutions and organizations (e.g. </w:t>
      </w:r>
      <w:hyperlink r:id="rId8" w:history="1">
        <w:r w:rsidRPr="00F55DB8">
          <w:rPr>
            <w:rStyle w:val="Hyperlink"/>
            <w:rFonts w:ascii="Avenir Next" w:hAnsi="Avenir Next" w:cs="Open Sans"/>
            <w:color w:val="004FBA"/>
            <w:sz w:val="22"/>
            <w:szCs w:val="22"/>
          </w:rPr>
          <w:t>research intensive and research-active</w:t>
        </w:r>
      </w:hyperlink>
      <w:r w:rsidRPr="00F55DB8">
        <w:rPr>
          <w:rFonts w:ascii="Avenir Next" w:hAnsi="Avenir Next" w:cs="Open Sans"/>
          <w:color w:val="212529"/>
          <w:sz w:val="22"/>
          <w:szCs w:val="22"/>
        </w:rPr>
        <w:t>, undergraduate-focused, minority-serving, community-based, and industry).</w:t>
      </w:r>
    </w:p>
    <w:p w14:paraId="58FEE20D" w14:textId="77777777" w:rsidR="002A726F" w:rsidRPr="00F55DB8" w:rsidRDefault="002A726F" w:rsidP="002A726F">
      <w:pPr>
        <w:numPr>
          <w:ilvl w:val="1"/>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…from varying scientific fields to contribute to transdisciplinary aspects of the proposed project (e. g. neuroscientists, computational biologists, engineering, mathematics, physicists, computer and data sciences, and bioethics).</w:t>
      </w:r>
    </w:p>
    <w:p w14:paraId="453301D6"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Training and mentoring opportunities to encourage participation of students, postdoctoral researchers, and co-investigators from diverse backgrounds (</w:t>
      </w:r>
      <w:proofErr w:type="gramStart"/>
      <w:r w:rsidRPr="00F55DB8">
        <w:rPr>
          <w:rFonts w:ascii="Avenir Next" w:hAnsi="Avenir Next" w:cs="Open Sans"/>
          <w:color w:val="212529"/>
          <w:sz w:val="22"/>
          <w:szCs w:val="22"/>
        </w:rPr>
        <w:t>e.g.</w:t>
      </w:r>
      <w:proofErr w:type="gramEnd"/>
      <w:r w:rsidRPr="00F55DB8">
        <w:rPr>
          <w:rFonts w:ascii="Avenir Next" w:hAnsi="Avenir Next" w:cs="Open Sans"/>
          <w:color w:val="212529"/>
          <w:sz w:val="22"/>
          <w:szCs w:val="22"/>
        </w:rPr>
        <w:t xml:space="preserve"> existing </w:t>
      </w:r>
      <w:r w:rsidRPr="00F55DB8">
        <w:rPr>
          <w:rFonts w:ascii="Avenir Next" w:hAnsi="Avenir Next" w:cs="Open Sans"/>
          <w:color w:val="212529"/>
          <w:sz w:val="22"/>
          <w:szCs w:val="22"/>
        </w:rPr>
        <w:lastRenderedPageBreak/>
        <w:t>institution-based programs such as undergraduate research experience programs, or new individual opportunities for trainees, fellows, etc.).</w:t>
      </w:r>
    </w:p>
    <w:p w14:paraId="50DA44E9"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Activities to enhance recruitment of research participants from diverse groups, including those from under-represented backgrounds.</w:t>
      </w:r>
    </w:p>
    <w:p w14:paraId="60927423"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Plans to use the project infrastructure (i.e., research and administrative structure) to support career-enhancing research opportunities for junior, early-, and mid-career researchers.</w:t>
      </w:r>
    </w:p>
    <w:p w14:paraId="6D7E4638"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Inclusion of community advisory boards or other relevant steering committees to inform research project design and/or dissemination of results.</w:t>
      </w:r>
    </w:p>
    <w:p w14:paraId="2058B494"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Publication plans that describe equitable processes to determine inclusive authorship and authorship order and ensure proper attribution. Opportunities promote visibility of junior faculty, post-docs, trainees, etc. by serving as first authors and/or presenting at National/International scientific meetings.</w:t>
      </w:r>
    </w:p>
    <w:p w14:paraId="06144A57"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Outreach to and recruitment of diverse trainees and investigators at regional and national scientific meetings (e.g. </w:t>
      </w:r>
      <w:hyperlink r:id="rId9" w:history="1">
        <w:r w:rsidRPr="00F55DB8">
          <w:rPr>
            <w:rStyle w:val="Hyperlink"/>
            <w:rFonts w:ascii="Avenir Next" w:hAnsi="Avenir Next" w:cs="Open Sans"/>
            <w:color w:val="004FBA"/>
            <w:sz w:val="22"/>
            <w:szCs w:val="22"/>
          </w:rPr>
          <w:t>SACNAS</w:t>
        </w:r>
      </w:hyperlink>
      <w:r w:rsidRPr="00F55DB8">
        <w:rPr>
          <w:rFonts w:ascii="Avenir Next" w:hAnsi="Avenir Next" w:cs="Open Sans"/>
          <w:color w:val="212529"/>
          <w:sz w:val="22"/>
          <w:szCs w:val="22"/>
        </w:rPr>
        <w:t>, </w:t>
      </w:r>
      <w:hyperlink r:id="rId10" w:history="1">
        <w:r w:rsidRPr="00F55DB8">
          <w:rPr>
            <w:rStyle w:val="Hyperlink"/>
            <w:rFonts w:ascii="Avenir Next" w:hAnsi="Avenir Next" w:cs="Open Sans"/>
            <w:color w:val="004FBA"/>
            <w:sz w:val="22"/>
            <w:szCs w:val="22"/>
          </w:rPr>
          <w:t>AISES</w:t>
        </w:r>
      </w:hyperlink>
      <w:r w:rsidRPr="00F55DB8">
        <w:rPr>
          <w:rFonts w:ascii="Avenir Next" w:hAnsi="Avenir Next" w:cs="Open Sans"/>
          <w:color w:val="212529"/>
          <w:sz w:val="22"/>
          <w:szCs w:val="22"/>
        </w:rPr>
        <w:t>, </w:t>
      </w:r>
      <w:hyperlink r:id="rId11" w:history="1">
        <w:r w:rsidRPr="00F55DB8">
          <w:rPr>
            <w:rStyle w:val="Hyperlink"/>
            <w:rFonts w:ascii="Avenir Next" w:hAnsi="Avenir Next" w:cs="Open Sans"/>
            <w:color w:val="004FBA"/>
            <w:sz w:val="22"/>
            <w:szCs w:val="22"/>
          </w:rPr>
          <w:t>ABRCMS</w:t>
        </w:r>
      </w:hyperlink>
      <w:r w:rsidRPr="00F55DB8">
        <w:rPr>
          <w:rFonts w:ascii="Avenir Next" w:hAnsi="Avenir Next" w:cs="Open Sans"/>
          <w:color w:val="212529"/>
          <w:sz w:val="22"/>
          <w:szCs w:val="22"/>
        </w:rPr>
        <w:t>, </w:t>
      </w:r>
      <w:proofErr w:type="spellStart"/>
      <w:r w:rsidRPr="00F55DB8">
        <w:rPr>
          <w:rFonts w:ascii="Avenir Next" w:hAnsi="Avenir Next" w:cs="Open Sans"/>
          <w:color w:val="212529"/>
          <w:sz w:val="22"/>
          <w:szCs w:val="22"/>
        </w:rPr>
        <w:fldChar w:fldCharType="begin"/>
      </w:r>
      <w:r w:rsidRPr="00F55DB8">
        <w:rPr>
          <w:rFonts w:ascii="Avenir Next" w:hAnsi="Avenir Next" w:cs="Open Sans"/>
          <w:color w:val="212529"/>
          <w:sz w:val="22"/>
          <w:szCs w:val="22"/>
        </w:rPr>
        <w:instrText>HYPERLINK "https://www.aiche.org/"</w:instrText>
      </w:r>
      <w:r w:rsidRPr="00F55DB8">
        <w:rPr>
          <w:rFonts w:ascii="Avenir Next" w:hAnsi="Avenir Next" w:cs="Open Sans"/>
          <w:color w:val="212529"/>
          <w:sz w:val="22"/>
          <w:szCs w:val="22"/>
        </w:rPr>
      </w:r>
      <w:r w:rsidRPr="00F55DB8">
        <w:rPr>
          <w:rFonts w:ascii="Avenir Next" w:hAnsi="Avenir Next" w:cs="Open Sans"/>
          <w:color w:val="212529"/>
          <w:sz w:val="22"/>
          <w:szCs w:val="22"/>
        </w:rPr>
        <w:fldChar w:fldCharType="separate"/>
      </w:r>
      <w:r w:rsidRPr="00F55DB8">
        <w:rPr>
          <w:rStyle w:val="Hyperlink"/>
          <w:rFonts w:ascii="Avenir Next" w:hAnsi="Avenir Next" w:cs="Open Sans"/>
          <w:color w:val="004FBA"/>
          <w:sz w:val="22"/>
          <w:szCs w:val="22"/>
        </w:rPr>
        <w:t>AIChE</w:t>
      </w:r>
      <w:proofErr w:type="spellEnd"/>
      <w:r w:rsidRPr="00F55DB8">
        <w:rPr>
          <w:rFonts w:ascii="Avenir Next" w:hAnsi="Avenir Next" w:cs="Open Sans"/>
          <w:color w:val="212529"/>
          <w:sz w:val="22"/>
          <w:szCs w:val="22"/>
        </w:rPr>
        <w:fldChar w:fldCharType="end"/>
      </w:r>
      <w:r w:rsidRPr="00F55DB8">
        <w:rPr>
          <w:rFonts w:ascii="Avenir Next" w:hAnsi="Avenir Next" w:cs="Open Sans"/>
          <w:color w:val="212529"/>
          <w:sz w:val="22"/>
          <w:szCs w:val="22"/>
        </w:rPr>
        <w:t>, </w:t>
      </w:r>
      <w:hyperlink r:id="rId12" w:history="1">
        <w:r w:rsidRPr="00F55DB8">
          <w:rPr>
            <w:rStyle w:val="Hyperlink"/>
            <w:rFonts w:ascii="Avenir Next" w:hAnsi="Avenir Next" w:cs="Open Sans"/>
            <w:color w:val="004FBA"/>
            <w:sz w:val="22"/>
            <w:szCs w:val="22"/>
          </w:rPr>
          <w:t>IEEE</w:t>
        </w:r>
      </w:hyperlink>
      <w:r w:rsidRPr="00F55DB8">
        <w:rPr>
          <w:rFonts w:ascii="Avenir Next" w:hAnsi="Avenir Next" w:cs="Open Sans"/>
          <w:color w:val="212529"/>
          <w:sz w:val="22"/>
          <w:szCs w:val="22"/>
        </w:rPr>
        <w:t>, </w:t>
      </w:r>
      <w:hyperlink r:id="rId13" w:history="1">
        <w:r w:rsidRPr="00F55DB8">
          <w:rPr>
            <w:rStyle w:val="Hyperlink"/>
            <w:rFonts w:ascii="Avenir Next" w:hAnsi="Avenir Next" w:cs="Open Sans"/>
            <w:color w:val="004FBA"/>
            <w:sz w:val="22"/>
            <w:szCs w:val="22"/>
          </w:rPr>
          <w:t>ACM</w:t>
        </w:r>
      </w:hyperlink>
      <w:r w:rsidRPr="00F55DB8">
        <w:rPr>
          <w:rFonts w:ascii="Avenir Next" w:hAnsi="Avenir Next" w:cs="Open Sans"/>
          <w:color w:val="212529"/>
          <w:sz w:val="22"/>
          <w:szCs w:val="22"/>
        </w:rPr>
        <w:t>, etc.).</w:t>
      </w:r>
    </w:p>
    <w:p w14:paraId="5374A466" w14:textId="77777777" w:rsidR="002A726F" w:rsidRPr="00F55DB8" w:rsidRDefault="002A726F" w:rsidP="002A726F">
      <w:pPr>
        <w:numPr>
          <w:ilvl w:val="0"/>
          <w:numId w:val="2"/>
        </w:numPr>
        <w:shd w:val="clear" w:color="auto" w:fill="FFFFFF"/>
        <w:spacing w:before="100" w:beforeAutospacing="1" w:after="100" w:afterAutospacing="1"/>
        <w:rPr>
          <w:rFonts w:ascii="Avenir Next" w:hAnsi="Avenir Next" w:cs="Open Sans"/>
          <w:color w:val="212529"/>
          <w:sz w:val="22"/>
          <w:szCs w:val="22"/>
        </w:rPr>
      </w:pPr>
      <w:r w:rsidRPr="00F55DB8">
        <w:rPr>
          <w:rFonts w:ascii="Avenir Next" w:hAnsi="Avenir Next" w:cs="Open Sans"/>
          <w:color w:val="212529"/>
          <w:sz w:val="22"/>
          <w:szCs w:val="22"/>
        </w:rPr>
        <w:t>Partnerships with advocacy groups or professional societies to help recruit study participants for clinical research and/or to aid with dissemination of research results.</w:t>
      </w:r>
    </w:p>
    <w:p w14:paraId="6C53F446" w14:textId="7EB5A6D5" w:rsidR="008B18A4" w:rsidRPr="00F55DB8" w:rsidRDefault="002A726F" w:rsidP="00F55DB8">
      <w:pPr>
        <w:numPr>
          <w:ilvl w:val="0"/>
          <w:numId w:val="2"/>
        </w:numPr>
        <w:shd w:val="clear" w:color="auto" w:fill="FFFFFF"/>
        <w:spacing w:before="100" w:beforeAutospacing="1" w:after="100" w:afterAutospacing="1"/>
        <w:rPr>
          <w:rStyle w:val="Strong"/>
          <w:rFonts w:ascii="Avenir Next" w:hAnsi="Avenir Next" w:cs="Open Sans"/>
          <w:b w:val="0"/>
          <w:bCs w:val="0"/>
          <w:color w:val="212529"/>
          <w:sz w:val="22"/>
          <w:szCs w:val="22"/>
        </w:rPr>
      </w:pPr>
      <w:r w:rsidRPr="00F55DB8">
        <w:rPr>
          <w:rFonts w:ascii="Avenir Next" w:hAnsi="Avenir Next" w:cs="Open Sans"/>
          <w:color w:val="212529"/>
          <w:sz w:val="22"/>
          <w:szCs w:val="22"/>
        </w:rPr>
        <w:t>Outreach activities to various public stakeholders (</w:t>
      </w:r>
      <w:proofErr w:type="gramStart"/>
      <w:r w:rsidRPr="00F55DB8">
        <w:rPr>
          <w:rFonts w:ascii="Avenir Next" w:hAnsi="Avenir Next" w:cs="Open Sans"/>
          <w:color w:val="212529"/>
          <w:sz w:val="22"/>
          <w:szCs w:val="22"/>
        </w:rPr>
        <w:t>e.g.</w:t>
      </w:r>
      <w:proofErr w:type="gramEnd"/>
      <w:r w:rsidRPr="00F55DB8">
        <w:rPr>
          <w:rFonts w:ascii="Avenir Next" w:hAnsi="Avenir Next" w:cs="Open Sans"/>
          <w:color w:val="212529"/>
          <w:sz w:val="22"/>
          <w:szCs w:val="22"/>
        </w:rPr>
        <w:t xml:space="preserve"> educators, patients, policy makers, etc.) to improve engagement and understanding of BRAIN Initiative research.</w:t>
      </w:r>
    </w:p>
    <w:p w14:paraId="732A435F" w14:textId="1E2E2BD3" w:rsidR="008B18A4" w:rsidRPr="00F55DB8" w:rsidRDefault="008B18A4" w:rsidP="008B18A4">
      <w:pPr>
        <w:pStyle w:val="NormalWeb"/>
        <w:shd w:val="clear" w:color="auto" w:fill="FDFDFD"/>
        <w:rPr>
          <w:rFonts w:ascii="Avenir Next" w:hAnsi="Avenir Next"/>
          <w:color w:val="404B56"/>
          <w:sz w:val="22"/>
          <w:szCs w:val="22"/>
        </w:rPr>
      </w:pPr>
      <w:r w:rsidRPr="00F55DB8">
        <w:rPr>
          <w:rStyle w:val="Strong"/>
          <w:rFonts w:ascii="Avenir Next" w:hAnsi="Avenir Next"/>
          <w:color w:val="404B56"/>
          <w:sz w:val="22"/>
          <w:szCs w:val="22"/>
        </w:rPr>
        <w:t>Resources and Contact Information</w:t>
      </w:r>
    </w:p>
    <w:p w14:paraId="7C481CC5" w14:textId="77777777" w:rsidR="00F55DB8" w:rsidRDefault="008B18A4" w:rsidP="00F55DB8">
      <w:pPr>
        <w:pStyle w:val="NormalWeb"/>
        <w:shd w:val="clear" w:color="auto" w:fill="FDFDFD"/>
        <w:rPr>
          <w:rFonts w:ascii="Avenir Next" w:hAnsi="Avenir Next"/>
          <w:color w:val="404B56"/>
          <w:sz w:val="22"/>
          <w:szCs w:val="22"/>
        </w:rPr>
      </w:pPr>
      <w:r w:rsidRPr="00F55DB8">
        <w:rPr>
          <w:rFonts w:ascii="Avenir Next" w:hAnsi="Avenir Next"/>
          <w:color w:val="404B56"/>
          <w:sz w:val="22"/>
          <w:szCs w:val="22"/>
        </w:rPr>
        <w:t>For more information on PEDPs, refer to</w:t>
      </w:r>
      <w:r w:rsidR="00A33963" w:rsidRPr="00F55DB8">
        <w:rPr>
          <w:rFonts w:ascii="Avenir Next" w:hAnsi="Avenir Next"/>
          <w:color w:val="404B56"/>
          <w:sz w:val="22"/>
          <w:szCs w:val="22"/>
        </w:rPr>
        <w:t xml:space="preserve"> </w:t>
      </w:r>
      <w:hyperlink r:id="rId14" w:history="1">
        <w:r w:rsidR="00A33963" w:rsidRPr="00F55DB8">
          <w:rPr>
            <w:rStyle w:val="Hyperlink"/>
            <w:rFonts w:ascii="Avenir Next" w:hAnsi="Avenir Next"/>
            <w:sz w:val="22"/>
            <w:szCs w:val="22"/>
          </w:rPr>
          <w:t xml:space="preserve">A Plan for Enhancing Diverse Perspectives (PEDP) </w:t>
        </w:r>
        <w:proofErr w:type="spellStart"/>
        <w:r w:rsidR="00A33963" w:rsidRPr="00F55DB8">
          <w:rPr>
            <w:rStyle w:val="Hyperlink"/>
            <w:rFonts w:ascii="Avenir Next" w:hAnsi="Avenir Next"/>
            <w:sz w:val="22"/>
            <w:szCs w:val="22"/>
          </w:rPr>
          <w:t>Youtube</w:t>
        </w:r>
        <w:proofErr w:type="spellEnd"/>
      </w:hyperlink>
      <w:r w:rsidR="00A33963" w:rsidRPr="00F55DB8">
        <w:rPr>
          <w:rFonts w:ascii="Avenir Next" w:hAnsi="Avenir Next"/>
          <w:color w:val="404B56"/>
          <w:sz w:val="22"/>
          <w:szCs w:val="22"/>
        </w:rPr>
        <w:t>,</w:t>
      </w:r>
      <w:r w:rsidRPr="00F55DB8">
        <w:rPr>
          <w:rFonts w:ascii="Avenir Next" w:hAnsi="Avenir Next"/>
          <w:color w:val="404B56"/>
          <w:sz w:val="22"/>
          <w:szCs w:val="22"/>
        </w:rPr>
        <w:t> </w:t>
      </w:r>
      <w:hyperlink r:id="rId15" w:tgtFrame="_blank" w:history="1">
        <w:r w:rsidRPr="00F55DB8">
          <w:rPr>
            <w:rStyle w:val="Hyperlink"/>
            <w:rFonts w:ascii="Avenir Next" w:hAnsi="Avenir Next"/>
            <w:color w:val="246CD3"/>
            <w:sz w:val="22"/>
            <w:szCs w:val="22"/>
          </w:rPr>
          <w:t>Frequently Asked Questions</w:t>
        </w:r>
      </w:hyperlink>
      <w:r w:rsidRPr="00F55DB8">
        <w:rPr>
          <w:rFonts w:ascii="Avenir Next" w:hAnsi="Avenir Next"/>
          <w:color w:val="404B56"/>
          <w:sz w:val="22"/>
          <w:szCs w:val="22"/>
        </w:rPr>
        <w:t> and </w:t>
      </w:r>
      <w:hyperlink r:id="rId16" w:tgtFrame="_blank" w:history="1">
        <w:r w:rsidRPr="00F55DB8">
          <w:rPr>
            <w:rStyle w:val="Hyperlink"/>
            <w:rFonts w:ascii="Avenir Next" w:hAnsi="Avenir Next"/>
            <w:color w:val="246CD3"/>
            <w:sz w:val="22"/>
            <w:szCs w:val="22"/>
          </w:rPr>
          <w:t>Key Elements and Examples</w:t>
        </w:r>
      </w:hyperlink>
      <w:r w:rsidRPr="00F55DB8">
        <w:rPr>
          <w:rFonts w:ascii="Avenir Next" w:hAnsi="Avenir Next"/>
          <w:color w:val="404B56"/>
          <w:sz w:val="22"/>
          <w:szCs w:val="22"/>
        </w:rPr>
        <w:t xml:space="preserve">. </w:t>
      </w:r>
    </w:p>
    <w:p w14:paraId="452083C4" w14:textId="68756F9F" w:rsidR="002A726F" w:rsidRDefault="008B18A4" w:rsidP="00F55DB8">
      <w:pPr>
        <w:pStyle w:val="NormalWeb"/>
        <w:shd w:val="clear" w:color="auto" w:fill="FDFDFD"/>
        <w:rPr>
          <w:rFonts w:ascii="Avenir Next" w:hAnsi="Avenir Next"/>
          <w:color w:val="404B56"/>
          <w:sz w:val="22"/>
          <w:szCs w:val="22"/>
        </w:rPr>
      </w:pPr>
      <w:r w:rsidRPr="00F55DB8">
        <w:rPr>
          <w:rFonts w:ascii="Avenir Next" w:hAnsi="Avenir Next"/>
          <w:color w:val="404B56"/>
          <w:sz w:val="22"/>
          <w:szCs w:val="22"/>
        </w:rPr>
        <w:t>If you have inquiries, contact the program official listed in the NOFO through which you are applying.</w:t>
      </w:r>
    </w:p>
    <w:p w14:paraId="5CEE7369" w14:textId="7641277E" w:rsidR="00210A65" w:rsidRDefault="00BD4D5C" w:rsidP="00F55DB8">
      <w:pPr>
        <w:pStyle w:val="NormalWeb"/>
        <w:shd w:val="clear" w:color="auto" w:fill="FDFDFD"/>
        <w:rPr>
          <w:rFonts w:ascii="Avenir Next" w:hAnsi="Avenir Next"/>
          <w:color w:val="404B56"/>
          <w:sz w:val="22"/>
          <w:szCs w:val="22"/>
        </w:rPr>
      </w:pPr>
      <w:r>
        <w:rPr>
          <w:rFonts w:ascii="Avenir Next" w:hAnsi="Avenir Next"/>
          <w:color w:val="404B56"/>
          <w:sz w:val="22"/>
          <w:szCs w:val="22"/>
        </w:rPr>
        <w:t>_</w:t>
      </w:r>
    </w:p>
    <w:p w14:paraId="7A8EBFF8" w14:textId="77777777" w:rsidR="00210A65" w:rsidRPr="00210A65" w:rsidRDefault="00210A65" w:rsidP="00210A65">
      <w:pPr>
        <w:pStyle w:val="is-style-default"/>
        <w:shd w:val="clear" w:color="auto" w:fill="FFFFFF"/>
        <w:spacing w:before="0" w:beforeAutospacing="0" w:after="240" w:afterAutospacing="0"/>
        <w:rPr>
          <w:rFonts w:ascii="Avenir Next" w:hAnsi="Avenir Next"/>
          <w:color w:val="555555"/>
          <w:sz w:val="22"/>
          <w:szCs w:val="22"/>
        </w:rPr>
      </w:pPr>
      <w:hyperlink r:id="rId17" w:history="1">
        <w:r w:rsidRPr="00210A65">
          <w:rPr>
            <w:rStyle w:val="Hyperlink"/>
            <w:rFonts w:ascii="Avenir Next" w:hAnsi="Avenir Next"/>
            <w:color w:val="D01C29"/>
            <w:sz w:val="22"/>
            <w:szCs w:val="22"/>
          </w:rPr>
          <w:t>Scientific Workforce Diversi</w:t>
        </w:r>
        <w:r w:rsidRPr="00210A65">
          <w:rPr>
            <w:rStyle w:val="Hyperlink"/>
            <w:rFonts w:ascii="Avenir Next" w:hAnsi="Avenir Next"/>
            <w:color w:val="D01C29"/>
            <w:sz w:val="22"/>
            <w:szCs w:val="22"/>
          </w:rPr>
          <w:t>t</w:t>
        </w:r>
        <w:r w:rsidRPr="00210A65">
          <w:rPr>
            <w:rStyle w:val="Hyperlink"/>
            <w:rFonts w:ascii="Avenir Next" w:hAnsi="Avenir Next"/>
            <w:color w:val="D01C29"/>
            <w:sz w:val="22"/>
            <w:szCs w:val="22"/>
          </w:rPr>
          <w:t>y – NIH</w:t>
        </w:r>
      </w:hyperlink>
    </w:p>
    <w:p w14:paraId="51678C79" w14:textId="77777777" w:rsidR="00210A65" w:rsidRPr="00210A65" w:rsidRDefault="00210A65" w:rsidP="00210A65">
      <w:pPr>
        <w:pStyle w:val="is-style-default"/>
        <w:shd w:val="clear" w:color="auto" w:fill="FFFFFF"/>
        <w:spacing w:before="0" w:beforeAutospacing="0" w:after="240" w:afterAutospacing="0"/>
        <w:rPr>
          <w:rFonts w:ascii="Avenir Next" w:hAnsi="Avenir Next"/>
          <w:color w:val="555555"/>
          <w:sz w:val="22"/>
          <w:szCs w:val="22"/>
        </w:rPr>
      </w:pPr>
      <w:hyperlink r:id="rId18" w:history="1">
        <w:r w:rsidRPr="00210A65">
          <w:rPr>
            <w:rStyle w:val="Hyperlink"/>
            <w:rFonts w:ascii="Avenir Next" w:hAnsi="Avenir Next"/>
            <w:color w:val="D01C29"/>
            <w:sz w:val="22"/>
            <w:szCs w:val="22"/>
          </w:rPr>
          <w:t>Diversity Matters | Diversity in Extramural Programs – NIH</w:t>
        </w:r>
      </w:hyperlink>
    </w:p>
    <w:p w14:paraId="0C84CFB5" w14:textId="77777777" w:rsidR="00210A65" w:rsidRDefault="00210A65" w:rsidP="00210A65">
      <w:pPr>
        <w:pStyle w:val="is-style-default"/>
        <w:shd w:val="clear" w:color="auto" w:fill="FFFFFF"/>
        <w:spacing w:before="0" w:beforeAutospacing="0" w:after="240" w:afterAutospacing="0"/>
        <w:rPr>
          <w:rFonts w:ascii="Source Sans Pro" w:hAnsi="Source Sans Pro"/>
          <w:color w:val="555555"/>
          <w:sz w:val="29"/>
          <w:szCs w:val="29"/>
        </w:rPr>
      </w:pPr>
      <w:hyperlink r:id="rId19" w:history="1">
        <w:r w:rsidRPr="00210A65">
          <w:rPr>
            <w:rStyle w:val="Hyperlink"/>
            <w:rFonts w:ascii="Avenir Next" w:hAnsi="Avenir Next"/>
            <w:color w:val="D01C29"/>
            <w:sz w:val="22"/>
            <w:szCs w:val="22"/>
          </w:rPr>
          <w:t>The NIH UNITE Initiative</w:t>
        </w:r>
      </w:hyperlink>
    </w:p>
    <w:p w14:paraId="0150A70B" w14:textId="77777777" w:rsidR="00210A65" w:rsidRPr="00F55DB8" w:rsidRDefault="00210A65" w:rsidP="00F55DB8">
      <w:pPr>
        <w:pStyle w:val="NormalWeb"/>
        <w:shd w:val="clear" w:color="auto" w:fill="FDFDFD"/>
        <w:rPr>
          <w:rFonts w:ascii="Avenir Next" w:hAnsi="Avenir Next"/>
          <w:color w:val="404B56"/>
          <w:sz w:val="22"/>
          <w:szCs w:val="22"/>
        </w:rPr>
      </w:pPr>
    </w:p>
    <w:sectPr w:rsidR="00210A65" w:rsidRPr="00F5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206"/>
    <w:multiLevelType w:val="multilevel"/>
    <w:tmpl w:val="F7A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539A5"/>
    <w:multiLevelType w:val="multilevel"/>
    <w:tmpl w:val="44AC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F0CDA"/>
    <w:multiLevelType w:val="multilevel"/>
    <w:tmpl w:val="677A3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121844">
    <w:abstractNumId w:val="0"/>
  </w:num>
  <w:num w:numId="2" w16cid:durableId="886455289">
    <w:abstractNumId w:val="2"/>
  </w:num>
  <w:num w:numId="3" w16cid:durableId="119662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C1"/>
    <w:rsid w:val="000E79BB"/>
    <w:rsid w:val="00210A65"/>
    <w:rsid w:val="002A726F"/>
    <w:rsid w:val="008B18A4"/>
    <w:rsid w:val="00A33963"/>
    <w:rsid w:val="00AD6B4E"/>
    <w:rsid w:val="00BD4D5C"/>
    <w:rsid w:val="00E41E86"/>
    <w:rsid w:val="00EE2AA8"/>
    <w:rsid w:val="00F55DB8"/>
    <w:rsid w:val="00FD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7B2C0"/>
  <w15:chartTrackingRefBased/>
  <w15:docId w15:val="{B1322036-D9F4-584C-860C-3A62FEA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EC1"/>
    <w:rPr>
      <w:color w:val="0563C1" w:themeColor="hyperlink"/>
      <w:u w:val="single"/>
    </w:rPr>
  </w:style>
  <w:style w:type="character" w:styleId="UnresolvedMention">
    <w:name w:val="Unresolved Mention"/>
    <w:basedOn w:val="DefaultParagraphFont"/>
    <w:uiPriority w:val="99"/>
    <w:semiHidden/>
    <w:unhideWhenUsed/>
    <w:rsid w:val="00FD1EC1"/>
    <w:rPr>
      <w:color w:val="605E5C"/>
      <w:shd w:val="clear" w:color="auto" w:fill="E1DFDD"/>
    </w:rPr>
  </w:style>
  <w:style w:type="paragraph" w:styleId="NormalWeb">
    <w:name w:val="Normal (Web)"/>
    <w:basedOn w:val="Normal"/>
    <w:uiPriority w:val="99"/>
    <w:unhideWhenUsed/>
    <w:rsid w:val="002A726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A726F"/>
    <w:rPr>
      <w:b/>
      <w:bCs/>
    </w:rPr>
  </w:style>
  <w:style w:type="paragraph" w:styleId="ListParagraph">
    <w:name w:val="List Paragraph"/>
    <w:basedOn w:val="Normal"/>
    <w:uiPriority w:val="34"/>
    <w:qFormat/>
    <w:rsid w:val="008B18A4"/>
    <w:pPr>
      <w:ind w:left="720"/>
      <w:contextualSpacing/>
    </w:pPr>
  </w:style>
  <w:style w:type="paragraph" w:customStyle="1" w:styleId="is-style-default">
    <w:name w:val="is-style-default"/>
    <w:basedOn w:val="Normal"/>
    <w:rsid w:val="00210A65"/>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210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1423">
      <w:bodyDiv w:val="1"/>
      <w:marLeft w:val="0"/>
      <w:marRight w:val="0"/>
      <w:marTop w:val="0"/>
      <w:marBottom w:val="0"/>
      <w:divBdr>
        <w:top w:val="none" w:sz="0" w:space="0" w:color="auto"/>
        <w:left w:val="none" w:sz="0" w:space="0" w:color="auto"/>
        <w:bottom w:val="none" w:sz="0" w:space="0" w:color="auto"/>
        <w:right w:val="none" w:sz="0" w:space="0" w:color="auto"/>
      </w:divBdr>
    </w:div>
    <w:div w:id="1165048249">
      <w:bodyDiv w:val="1"/>
      <w:marLeft w:val="0"/>
      <w:marRight w:val="0"/>
      <w:marTop w:val="0"/>
      <w:marBottom w:val="0"/>
      <w:divBdr>
        <w:top w:val="none" w:sz="0" w:space="0" w:color="auto"/>
        <w:left w:val="none" w:sz="0" w:space="0" w:color="auto"/>
        <w:bottom w:val="none" w:sz="0" w:space="0" w:color="auto"/>
        <w:right w:val="none" w:sz="0" w:space="0" w:color="auto"/>
      </w:divBdr>
    </w:div>
    <w:div w:id="18995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GM-19-037.html" TargetMode="External"/><Relationship Id="rId13" Type="http://schemas.openxmlformats.org/officeDocument/2006/relationships/hyperlink" Target="https://www.acm.org/" TargetMode="External"/><Relationship Id="rId18" Type="http://schemas.openxmlformats.org/officeDocument/2006/relationships/hyperlink" Target="https://extramural-diversity.nih.gov/diversity-matt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nts.nih.gov/grants/guide/notice-files/NOT-OD-20-031.html" TargetMode="External"/><Relationship Id="rId12" Type="http://schemas.openxmlformats.org/officeDocument/2006/relationships/hyperlink" Target="https://www.ieee.org/" TargetMode="External"/><Relationship Id="rId17" Type="http://schemas.openxmlformats.org/officeDocument/2006/relationships/hyperlink" Target="https://diversity.nih.gov/" TargetMode="External"/><Relationship Id="rId2" Type="http://schemas.openxmlformats.org/officeDocument/2006/relationships/styles" Target="styles.xml"/><Relationship Id="rId16" Type="http://schemas.openxmlformats.org/officeDocument/2006/relationships/hyperlink" Target="https://braininitiative.nih.gov/vision/plan-enhancing-diverse-perspectives/pedp-key-elements-and-examp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guide/notice-files/NOT-GM-19-037.html" TargetMode="External"/><Relationship Id="rId11" Type="http://schemas.openxmlformats.org/officeDocument/2006/relationships/hyperlink" Target="https://www.abrcms.org/" TargetMode="External"/><Relationship Id="rId5" Type="http://schemas.openxmlformats.org/officeDocument/2006/relationships/hyperlink" Target="https://grants.nih.gov/grants/guide/notice-files/NOT-OD-20-031.html" TargetMode="External"/><Relationship Id="rId15" Type="http://schemas.openxmlformats.org/officeDocument/2006/relationships/hyperlink" Target="https://braininitiative.nih.gov/vision/plan-enhancing-diverse-perspectives/pedp-frequently-asked-questions" TargetMode="External"/><Relationship Id="rId10" Type="http://schemas.openxmlformats.org/officeDocument/2006/relationships/hyperlink" Target="https://www.aises.org/" TargetMode="External"/><Relationship Id="rId19" Type="http://schemas.openxmlformats.org/officeDocument/2006/relationships/hyperlink" Target="https://www.nih.gov/ending-structural-racism/unite" TargetMode="External"/><Relationship Id="rId4" Type="http://schemas.openxmlformats.org/officeDocument/2006/relationships/webSettings" Target="webSettings.xml"/><Relationship Id="rId9" Type="http://schemas.openxmlformats.org/officeDocument/2006/relationships/hyperlink" Target="https://www.sacnas.org/" TargetMode="External"/><Relationship Id="rId14" Type="http://schemas.openxmlformats.org/officeDocument/2006/relationships/hyperlink" Target="https://www.youtube.com/watch?v=iZ_spVo9R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7</cp:revision>
  <dcterms:created xsi:type="dcterms:W3CDTF">2023-11-30T16:18:00Z</dcterms:created>
  <dcterms:modified xsi:type="dcterms:W3CDTF">2024-01-10T04:07:00Z</dcterms:modified>
</cp:coreProperties>
</file>