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1" w:rsidRPr="007F69A1" w:rsidRDefault="007F69A1" w:rsidP="00B2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8"/>
          <w:szCs w:val="8"/>
        </w:rPr>
      </w:pPr>
      <w:bookmarkStart w:id="0" w:name="_GoBack"/>
      <w:bookmarkEnd w:id="0"/>
    </w:p>
    <w:p w:rsidR="00B26FA0" w:rsidRPr="00711894" w:rsidRDefault="00B26FA0" w:rsidP="00B2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71189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PI </w:t>
      </w:r>
      <w:r w:rsidRPr="00711894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QUICK GUIDE</w:t>
      </w:r>
    </w:p>
    <w:p w:rsidR="00B26FA0" w:rsidRPr="00711894" w:rsidRDefault="00B26FA0" w:rsidP="00B2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(Volume </w:t>
      </w:r>
      <w:r w:rsidRPr="0071189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1,</w:t>
      </w:r>
      <w:r w:rsidRPr="0071189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Version 1 </w:t>
      </w:r>
      <w:r w:rsidR="00497170"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–</w:t>
      </w:r>
      <w:r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97170"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November 7</w:t>
      </w:r>
      <w:r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, 2014)</w:t>
      </w:r>
    </w:p>
    <w:p w:rsidR="00B26FA0" w:rsidRPr="00711894" w:rsidRDefault="00B26FA0" w:rsidP="00B2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MAJOR CHANGES IN THE UNIFORM GUIDANCE AFFECTING</w:t>
      </w:r>
    </w:p>
    <w:p w:rsidR="00B26FA0" w:rsidRPr="00711894" w:rsidRDefault="00B26FA0" w:rsidP="00B2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11894">
        <w:rPr>
          <w:rFonts w:ascii="Times New Roman" w:hAnsi="Times New Roman" w:cs="Times New Roman"/>
          <w:i/>
          <w:iCs/>
          <w:color w:val="000000"/>
          <w:sz w:val="26"/>
          <w:szCs w:val="26"/>
        </w:rPr>
        <w:t>PROPOSAL BUDGETS AND CHARGING OF DIRECT COSTS</w:t>
      </w:r>
    </w:p>
    <w:p w:rsidR="00B26FA0" w:rsidRPr="00053027" w:rsidRDefault="00B26FA0" w:rsidP="00B2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86F38" w:rsidRPr="00711894" w:rsidRDefault="00B26FA0" w:rsidP="00B26FA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711894">
        <w:rPr>
          <w:rFonts w:cs="Arial"/>
          <w:bCs/>
          <w:color w:val="000000"/>
          <w:sz w:val="20"/>
          <w:szCs w:val="20"/>
        </w:rPr>
        <w:t xml:space="preserve">The Office of Management and Budget (OMB) </w:t>
      </w:r>
      <w:proofErr w:type="gramStart"/>
      <w:r w:rsidRPr="00711894">
        <w:rPr>
          <w:rFonts w:cs="Arial"/>
          <w:bCs/>
          <w:color w:val="000000"/>
          <w:sz w:val="20"/>
          <w:szCs w:val="20"/>
        </w:rPr>
        <w:t>has</w:t>
      </w:r>
      <w:proofErr w:type="gramEnd"/>
      <w:r w:rsidRPr="00711894">
        <w:rPr>
          <w:rFonts w:cs="Arial"/>
          <w:bCs/>
          <w:color w:val="000000"/>
          <w:sz w:val="20"/>
          <w:szCs w:val="20"/>
        </w:rPr>
        <w:t xml:space="preserve"> combined many federal circulars into a single guidance document (known as Uniform Guidance, or 2 CFR 200) that can be used </w:t>
      </w:r>
      <w:r w:rsidRPr="00711894">
        <w:rPr>
          <w:rFonts w:cs="Times New Roman"/>
          <w:bCs/>
          <w:color w:val="000000"/>
          <w:sz w:val="20"/>
          <w:szCs w:val="20"/>
        </w:rPr>
        <w:t xml:space="preserve">by </w:t>
      </w:r>
      <w:r w:rsidRPr="00711894">
        <w:rPr>
          <w:rFonts w:cs="Arial"/>
          <w:bCs/>
          <w:color w:val="000000"/>
          <w:sz w:val="20"/>
          <w:szCs w:val="20"/>
        </w:rPr>
        <w:t>all agencies. These new regulations will become effective December 26, 2014.</w:t>
      </w:r>
    </w:p>
    <w:p w:rsidR="00B26FA0" w:rsidRDefault="00B26FA0" w:rsidP="00B26F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168"/>
        <w:gridCol w:w="7830"/>
      </w:tblGrid>
      <w:tr w:rsidR="00B26FA0" w:rsidTr="00442AA4">
        <w:tc>
          <w:tcPr>
            <w:tcW w:w="3168" w:type="dxa"/>
          </w:tcPr>
          <w:p w:rsid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A0">
              <w:rPr>
                <w:rFonts w:ascii="Times New Roman" w:hAnsi="Times New Roman" w:cs="Times New Roman"/>
                <w:b/>
                <w:sz w:val="20"/>
                <w:szCs w:val="20"/>
              </w:rPr>
              <w:t>CHARGING</w:t>
            </w: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A0">
              <w:rPr>
                <w:rFonts w:ascii="Times New Roman" w:hAnsi="Times New Roman" w:cs="Times New Roman"/>
                <w:b/>
                <w:sz w:val="20"/>
                <w:szCs w:val="20"/>
              </w:rPr>
              <w:t>ADMINISTRATIVE/CLERICAL</w:t>
            </w: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A0">
              <w:rPr>
                <w:rFonts w:ascii="Times New Roman" w:hAnsi="Times New Roman" w:cs="Times New Roman"/>
                <w:b/>
                <w:sz w:val="20"/>
                <w:szCs w:val="20"/>
              </w:rPr>
              <w:t>AND PROGRAMMATIC</w:t>
            </w: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A0">
              <w:rPr>
                <w:rFonts w:ascii="Times New Roman" w:hAnsi="Times New Roman" w:cs="Times New Roman"/>
                <w:b/>
                <w:sz w:val="20"/>
                <w:szCs w:val="20"/>
              </w:rPr>
              <w:t>SALARY COSTS</w:t>
            </w:r>
          </w:p>
          <w:p w:rsid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A0">
              <w:rPr>
                <w:rFonts w:ascii="Times New Roman" w:hAnsi="Times New Roman" w:cs="Times New Roman"/>
                <w:b/>
                <w:sz w:val="20"/>
                <w:szCs w:val="20"/>
              </w:rPr>
              <w:t>Applicable Uniform</w:t>
            </w: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A0">
              <w:rPr>
                <w:rFonts w:ascii="Times New Roman" w:hAnsi="Times New Roman" w:cs="Times New Roman"/>
                <w:b/>
                <w:sz w:val="20"/>
                <w:szCs w:val="20"/>
              </w:rPr>
              <w:t>Guidance (UG) Sections:</w:t>
            </w:r>
          </w:p>
          <w:p w:rsidR="00B26FA0" w:rsidRPr="00B26FA0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6FA0">
              <w:rPr>
                <w:rFonts w:ascii="Times New Roman" w:hAnsi="Times New Roman" w:cs="Times New Roman"/>
                <w:b/>
                <w:sz w:val="19"/>
                <w:szCs w:val="19"/>
              </w:rPr>
              <w:t>200.413</w:t>
            </w:r>
          </w:p>
          <w:p w:rsidR="00B26FA0" w:rsidRDefault="00B26FA0" w:rsidP="00B26FA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26FA0">
              <w:rPr>
                <w:rFonts w:ascii="Times New Roman" w:hAnsi="Times New Roman" w:cs="Times New Roman"/>
                <w:b/>
                <w:sz w:val="19"/>
                <w:szCs w:val="19"/>
              </w:rPr>
              <w:t>200.430</w:t>
            </w:r>
          </w:p>
        </w:tc>
        <w:tc>
          <w:tcPr>
            <w:tcW w:w="7830" w:type="dxa"/>
          </w:tcPr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19"/>
                <w:szCs w:val="19"/>
              </w:rPr>
            </w:pPr>
            <w:r w:rsidRPr="008B3521">
              <w:rPr>
                <w:rFonts w:cs="Arial"/>
                <w:b/>
                <w:color w:val="4F81BD" w:themeColor="accent1"/>
                <w:sz w:val="19"/>
                <w:szCs w:val="19"/>
              </w:rPr>
              <w:t>Administrative and clerical salaries (in certain circumstances} AND programmatic salary costs</w:t>
            </w:r>
            <w:r w:rsidR="00405DCF" w:rsidRPr="008B3521">
              <w:rPr>
                <w:rFonts w:cs="Arial"/>
                <w:b/>
                <w:color w:val="4F81BD" w:themeColor="accent1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b/>
                <w:color w:val="4F81BD" w:themeColor="accent1"/>
                <w:sz w:val="19"/>
                <w:szCs w:val="19"/>
              </w:rPr>
              <w:t>can be included on competitive proposal budgets.</w:t>
            </w: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b/>
                <w:sz w:val="19"/>
                <w:szCs w:val="19"/>
                <w:u w:val="single"/>
              </w:rPr>
            </w:pPr>
            <w:r w:rsidRPr="008B3521">
              <w:rPr>
                <w:rFonts w:cs="Arial"/>
                <w:b/>
                <w:sz w:val="19"/>
                <w:szCs w:val="19"/>
                <w:u w:val="single"/>
              </w:rPr>
              <w:t>Administrative and Clerical Salaries</w:t>
            </w: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In general, administrative and clerical salaries should still not be direct charged, but the rules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governing "major project or activity" exceptions have been dropped and replaced by the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following criteria, all of which must be met:</w:t>
            </w:r>
          </w:p>
          <w:p w:rsidR="00B26FA0" w:rsidRPr="008B3521" w:rsidRDefault="00B26FA0" w:rsidP="00B26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B3521">
              <w:rPr>
                <w:rFonts w:cs="Arial"/>
                <w:bCs/>
                <w:sz w:val="19"/>
                <w:szCs w:val="19"/>
              </w:rPr>
              <w:t>Administrative or clerical services are Integral* to a project or activity;</w:t>
            </w:r>
          </w:p>
          <w:p w:rsidR="00B26FA0" w:rsidRPr="008B3521" w:rsidRDefault="00B26FA0" w:rsidP="00B26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Individuals involved can be specifically identified with the project or activity;</w:t>
            </w:r>
          </w:p>
          <w:p w:rsidR="00B26FA0" w:rsidRPr="008B3521" w:rsidRDefault="00B26FA0" w:rsidP="00B26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Such costs are explicitly included in the budget or have the prior written approval of the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Federal awarding agency; and</w:t>
            </w:r>
          </w:p>
          <w:p w:rsidR="00B26FA0" w:rsidRPr="008B3521" w:rsidRDefault="00B26FA0" w:rsidP="00B26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B3521">
              <w:rPr>
                <w:rFonts w:cs="Arial"/>
                <w:bCs/>
                <w:sz w:val="19"/>
                <w:szCs w:val="19"/>
              </w:rPr>
              <w:t>The costs are not also recovered as indirect costs.</w:t>
            </w: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If all of t</w:t>
            </w:r>
            <w:r w:rsidR="00711894" w:rsidRPr="008B3521">
              <w:rPr>
                <w:rFonts w:cs="Arial"/>
                <w:sz w:val="19"/>
                <w:szCs w:val="19"/>
              </w:rPr>
              <w:t>hese requirements are met, PI’</w:t>
            </w:r>
            <w:r w:rsidRPr="008B3521">
              <w:rPr>
                <w:rFonts w:cs="Arial"/>
                <w:sz w:val="19"/>
                <w:szCs w:val="19"/>
              </w:rPr>
              <w:t>s/departments should add a new justification statement to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proposals to facilitate the required agency approval.</w:t>
            </w: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</w:p>
          <w:p w:rsidR="00405DCF" w:rsidRPr="008B3521" w:rsidRDefault="00711894" w:rsidP="00711894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 xml:space="preserve">* </w:t>
            </w:r>
            <w:r w:rsidR="00405DCF" w:rsidRPr="008B3521">
              <w:rPr>
                <w:rFonts w:cs="Arial"/>
                <w:sz w:val="19"/>
                <w:szCs w:val="19"/>
              </w:rPr>
              <w:t>UofU</w:t>
            </w:r>
            <w:r w:rsidR="00B26FA0" w:rsidRPr="008B3521">
              <w:rPr>
                <w:rFonts w:cs="Arial"/>
                <w:sz w:val="19"/>
                <w:szCs w:val="19"/>
              </w:rPr>
              <w:t xml:space="preserve"> has determined that integral means: (1) the services are essential, vital, or fundamental to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="00B26FA0" w:rsidRPr="008B3521">
              <w:rPr>
                <w:rFonts w:cs="Arial"/>
                <w:sz w:val="19"/>
                <w:szCs w:val="19"/>
              </w:rPr>
              <w:t>the project or activity; AND (2) a minimum of 15% FTE is budgeted in the grant's budget year or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="00B26FA0" w:rsidRPr="008B3521">
              <w:rPr>
                <w:rFonts w:cs="Arial"/>
                <w:bCs/>
                <w:sz w:val="19"/>
                <w:szCs w:val="19"/>
              </w:rPr>
              <w:t>there are documented special circumstances</w:t>
            </w:r>
            <w:r w:rsidR="00497170" w:rsidRPr="008B3521">
              <w:rPr>
                <w:rFonts w:cs="Arial"/>
                <w:bCs/>
                <w:sz w:val="19"/>
                <w:szCs w:val="19"/>
              </w:rPr>
              <w:t>.</w:t>
            </w:r>
          </w:p>
          <w:p w:rsidR="00405DCF" w:rsidRPr="008B3521" w:rsidRDefault="00405DCF" w:rsidP="00405DCF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</w:p>
          <w:p w:rsidR="00405DCF" w:rsidRPr="008B3521" w:rsidRDefault="00B26FA0" w:rsidP="00405DC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  <w:u w:val="single"/>
              </w:rPr>
            </w:pPr>
            <w:r w:rsidRPr="008B3521">
              <w:rPr>
                <w:rFonts w:cs="Arial"/>
                <w:b/>
                <w:bCs/>
                <w:sz w:val="19"/>
                <w:szCs w:val="19"/>
                <w:u w:val="single"/>
              </w:rPr>
              <w:t>Programmatic Salary Costs</w:t>
            </w:r>
            <w:r w:rsidR="00405DCF" w:rsidRPr="008B3521">
              <w:rPr>
                <w:rFonts w:cs="Arial"/>
                <w:b/>
                <w:bCs/>
                <w:sz w:val="19"/>
                <w:szCs w:val="19"/>
                <w:u w:val="single"/>
              </w:rPr>
              <w:t xml:space="preserve"> </w:t>
            </w:r>
          </w:p>
          <w:p w:rsidR="00B26FA0" w:rsidRPr="008B3521" w:rsidRDefault="00B26FA0" w:rsidP="00405DCF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Costs related to protocol development and maintenance, managing substances/chemicals,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managing and securing project-specific data, and coordination of research subjects are allowable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direct costs when they are "contributing and directly related to work under an agreement." Thus,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these programmatic costs may be direct charged using the same underlying requirements as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 xml:space="preserve">other types of direct costs, and are </w:t>
            </w:r>
            <w:r w:rsidRPr="008B3521">
              <w:rPr>
                <w:rFonts w:cs="Arial"/>
                <w:b/>
                <w:sz w:val="19"/>
                <w:szCs w:val="19"/>
                <w:u w:val="single"/>
              </w:rPr>
              <w:t>not</w:t>
            </w:r>
            <w:r w:rsidRPr="008B3521">
              <w:rPr>
                <w:rFonts w:cs="Arial"/>
                <w:sz w:val="19"/>
                <w:szCs w:val="19"/>
              </w:rPr>
              <w:t xml:space="preserve"> subject to the extra approval requirements required of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administrative and clerical costs. They are still subject to all regular costing requirements (e.g.,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allocability, reasonableness, allowable by terms of the award, incurred within award period).</w:t>
            </w:r>
          </w:p>
          <w:p w:rsidR="00405DCF" w:rsidRPr="008B3521" w:rsidRDefault="00405DCF" w:rsidP="00405DC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26FA0" w:rsidTr="00442AA4">
        <w:tc>
          <w:tcPr>
            <w:tcW w:w="3168" w:type="dxa"/>
          </w:tcPr>
          <w:p w:rsidR="00405DCF" w:rsidRPr="00405DCF" w:rsidRDefault="00405DCF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COMPUTING DEVICES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(UNDER $5,000 UNIT COST)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CF" w:rsidRPr="00405DCF" w:rsidRDefault="00405DCF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Applicable UG Sections: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200.33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200.48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200.89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200.439</w:t>
            </w:r>
          </w:p>
          <w:p w:rsidR="00B26FA0" w:rsidRPr="00405DCF" w:rsidRDefault="00B26FA0" w:rsidP="00B26FA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05DCF">
              <w:rPr>
                <w:rFonts w:ascii="Times New Roman" w:hAnsi="Times New Roman" w:cs="Times New Roman"/>
                <w:b/>
                <w:sz w:val="20"/>
                <w:szCs w:val="20"/>
              </w:rPr>
              <w:t>200.453C</w:t>
            </w:r>
          </w:p>
        </w:tc>
        <w:tc>
          <w:tcPr>
            <w:tcW w:w="7830" w:type="dxa"/>
          </w:tcPr>
          <w:p w:rsidR="00405DCF" w:rsidRPr="008B3521" w:rsidRDefault="00405DCF" w:rsidP="00B26FA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19"/>
                <w:szCs w:val="19"/>
              </w:rPr>
            </w:pPr>
            <w:r w:rsidRPr="008B3521">
              <w:rPr>
                <w:rFonts w:cs="Arial"/>
                <w:b/>
                <w:color w:val="4F81BD" w:themeColor="accent1"/>
                <w:sz w:val="19"/>
                <w:szCs w:val="19"/>
              </w:rPr>
              <w:t>Computing</w:t>
            </w:r>
            <w:r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b/>
                <w:color w:val="4F81BD" w:themeColor="accent1"/>
                <w:sz w:val="19"/>
                <w:szCs w:val="19"/>
              </w:rPr>
              <w:t>devices can be included on competitive proposal budgets.</w:t>
            </w:r>
          </w:p>
          <w:p w:rsidR="00405DCF" w:rsidRPr="008B3521" w:rsidRDefault="00405DCF" w:rsidP="00B26F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</w:p>
          <w:p w:rsidR="00B26FA0" w:rsidRPr="008B3521" w:rsidRDefault="00B26FA0" w:rsidP="00B26F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Computing devices under $5,000/unit may be direct charged to the project or activity under the</w:t>
            </w:r>
            <w:r w:rsidR="008B3521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following circumstances:</w:t>
            </w:r>
          </w:p>
          <w:p w:rsidR="00B26FA0" w:rsidRPr="008B3521" w:rsidRDefault="00B26FA0" w:rsidP="00405D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The machines are essential* and allocable to the project in that they are necessary to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bCs/>
                <w:sz w:val="19"/>
                <w:szCs w:val="19"/>
              </w:rPr>
              <w:t>acquire, store, analyze, process, and publish data and other information electronically,</w:t>
            </w:r>
            <w:r w:rsidR="00711894" w:rsidRPr="008B3521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bCs/>
                <w:sz w:val="19"/>
                <w:szCs w:val="19"/>
              </w:rPr>
              <w:t>including accessories (or "peripherals") for printing, transmitting and receiving, or storing</w:t>
            </w:r>
            <w:r w:rsidR="00711894" w:rsidRPr="008B3521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bCs/>
                <w:sz w:val="19"/>
                <w:szCs w:val="19"/>
              </w:rPr>
              <w:t>electronic information.</w:t>
            </w:r>
          </w:p>
          <w:p w:rsidR="00B26FA0" w:rsidRPr="008B3521" w:rsidRDefault="00B26FA0" w:rsidP="00405D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The project does not have reasonable access to other devices or equipment that can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a</w:t>
            </w:r>
            <w:r w:rsidRPr="008B3521">
              <w:rPr>
                <w:rFonts w:cs="Arial"/>
                <w:sz w:val="19"/>
                <w:szCs w:val="19"/>
              </w:rPr>
              <w:t>chieve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bCs/>
                <w:sz w:val="19"/>
                <w:szCs w:val="19"/>
              </w:rPr>
              <w:t>the same purpose; devices may not be purchased for reasons of convenience or preference.</w:t>
            </w:r>
          </w:p>
          <w:p w:rsidR="00B26FA0" w:rsidRPr="008B3521" w:rsidRDefault="00B26FA0" w:rsidP="00405D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Items costing more than $5,000 per unit are considered equipment and follow federal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equipment rules for when they can be direct charged. (SEE 200.33, 200.48, 200.89,</w:t>
            </w:r>
            <w:r w:rsidR="00405DCF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200.439)</w:t>
            </w:r>
          </w:p>
          <w:p w:rsidR="00405DCF" w:rsidRPr="008B3521" w:rsidRDefault="00405DCF" w:rsidP="00405DC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711894" w:rsidRDefault="00711894" w:rsidP="007F69A1">
      <w:pPr>
        <w:pStyle w:val="NoSpacing"/>
        <w:rPr>
          <w:sz w:val="28"/>
          <w:szCs w:val="28"/>
        </w:rPr>
      </w:pPr>
    </w:p>
    <w:p w:rsidR="008B3521" w:rsidRPr="008B3521" w:rsidRDefault="008B3521" w:rsidP="008B3521">
      <w:pPr>
        <w:pStyle w:val="NoSpacing"/>
        <w:tabs>
          <w:tab w:val="left" w:pos="3544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078"/>
        <w:gridCol w:w="8010"/>
      </w:tblGrid>
      <w:tr w:rsidR="00497170" w:rsidTr="008B3521">
        <w:tc>
          <w:tcPr>
            <w:tcW w:w="3078" w:type="dxa"/>
          </w:tcPr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br w:type="page"/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COMPUTING DEVICES</w:t>
            </w:r>
          </w:p>
          <w:p w:rsidR="00497170" w:rsidRPr="00405DCF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continued ...</w:t>
            </w:r>
          </w:p>
        </w:tc>
        <w:tc>
          <w:tcPr>
            <w:tcW w:w="8010" w:type="dxa"/>
          </w:tcPr>
          <w:p w:rsidR="00053027" w:rsidRPr="008B3521" w:rsidRDefault="00053027" w:rsidP="0049717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497170" w:rsidRPr="008B3521" w:rsidRDefault="00711894" w:rsidP="0049717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* PI’</w:t>
            </w:r>
            <w:r w:rsidR="00497170" w:rsidRPr="008B3521">
              <w:rPr>
                <w:rFonts w:cs="Arial"/>
                <w:sz w:val="19"/>
                <w:szCs w:val="19"/>
              </w:rPr>
              <w:t>s are responsible for determining whether or not the device is ''essential" and to what extent</w:t>
            </w:r>
            <w:r w:rsidRPr="008B3521">
              <w:rPr>
                <w:rFonts w:cs="Arial"/>
                <w:sz w:val="19"/>
                <w:szCs w:val="19"/>
              </w:rPr>
              <w:t xml:space="preserve"> </w:t>
            </w:r>
            <w:r w:rsidR="00497170" w:rsidRPr="008B3521">
              <w:rPr>
                <w:rFonts w:cs="Arial"/>
                <w:sz w:val="19"/>
                <w:szCs w:val="19"/>
              </w:rPr>
              <w:t>the cost of the device is allocab</w:t>
            </w:r>
            <w:r w:rsidRPr="008B3521">
              <w:rPr>
                <w:rFonts w:cs="Arial"/>
                <w:sz w:val="19"/>
                <w:szCs w:val="19"/>
              </w:rPr>
              <w:t>le to the sponsored project. PI’s</w:t>
            </w:r>
            <w:r w:rsidR="00497170" w:rsidRPr="008B3521">
              <w:rPr>
                <w:rFonts w:cs="Arial"/>
                <w:sz w:val="19"/>
                <w:szCs w:val="19"/>
              </w:rPr>
              <w:t xml:space="preserve"> and departments should maintain</w:t>
            </w:r>
            <w:r w:rsidRPr="008B3521">
              <w:rPr>
                <w:rFonts w:cs="Arial"/>
                <w:sz w:val="19"/>
                <w:szCs w:val="19"/>
              </w:rPr>
              <w:t xml:space="preserve"> </w:t>
            </w:r>
            <w:r w:rsidR="00497170" w:rsidRPr="008B3521">
              <w:rPr>
                <w:rFonts w:cs="Arial"/>
                <w:sz w:val="19"/>
                <w:szCs w:val="19"/>
              </w:rPr>
              <w:t>documentation that describes how the proposed computing device meets the above</w:t>
            </w:r>
            <w:r w:rsidRPr="008B3521">
              <w:rPr>
                <w:rFonts w:cs="Arial"/>
                <w:sz w:val="19"/>
                <w:szCs w:val="19"/>
              </w:rPr>
              <w:t xml:space="preserve"> </w:t>
            </w:r>
            <w:r w:rsidR="00497170" w:rsidRPr="008B3521">
              <w:rPr>
                <w:rFonts w:cs="Arial"/>
                <w:sz w:val="19"/>
                <w:szCs w:val="19"/>
              </w:rPr>
              <w:t>requirements.</w:t>
            </w: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7170" w:rsidTr="008B3521">
        <w:tc>
          <w:tcPr>
            <w:tcW w:w="3078" w:type="dxa"/>
          </w:tcPr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PARTICIPANT SUPPORT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COSTS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Applicable UG Sections: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200.75</w:t>
            </w:r>
          </w:p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200.456</w:t>
            </w:r>
          </w:p>
        </w:tc>
        <w:tc>
          <w:tcPr>
            <w:tcW w:w="8010" w:type="dxa"/>
          </w:tcPr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19"/>
                <w:szCs w:val="19"/>
              </w:rPr>
            </w:pPr>
            <w:r w:rsidRPr="008B3521">
              <w:rPr>
                <w:rFonts w:cs="Arial"/>
                <w:b/>
                <w:color w:val="4F81BD" w:themeColor="accent1"/>
                <w:sz w:val="19"/>
                <w:szCs w:val="19"/>
              </w:rPr>
              <w:t>Participant support costs can be included for agency approval on competitive proposal budgets.</w:t>
            </w: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19"/>
                <w:szCs w:val="19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After UG implementation, participant support costs (see 200.75) are allowable with agency prior</w:t>
            </w:r>
            <w:r w:rsidR="00711894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approval. This includes stipends or subsistence allowances, travel allowances, and registration</w:t>
            </w:r>
            <w:r w:rsidR="00711894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fees paid to or on behalf of participants or trainees (but not employees) in connection with</w:t>
            </w:r>
            <w:r w:rsidR="00711894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conferences or training projects. Participant support costs are not routinely allowed on research</w:t>
            </w:r>
            <w:r w:rsidR="00711894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projects but can be charged if the project includes an education or outreach component and the</w:t>
            </w:r>
            <w:r w:rsidR="00711894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agency approves such costs.</w:t>
            </w:r>
          </w:p>
          <w:p w:rsidR="00711894" w:rsidRPr="008B3521" w:rsidRDefault="00711894" w:rsidP="0049717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B3521">
              <w:rPr>
                <w:rFonts w:cs="Arial"/>
                <w:sz w:val="19"/>
                <w:szCs w:val="19"/>
              </w:rPr>
              <w:t>These costs should be explicitly listed in the proposal budget or approved by the funding agency</w:t>
            </w:r>
            <w:r w:rsidR="00711894" w:rsidRPr="008B3521">
              <w:rPr>
                <w:rFonts w:cs="Arial"/>
                <w:sz w:val="19"/>
                <w:szCs w:val="19"/>
              </w:rPr>
              <w:t xml:space="preserve"> </w:t>
            </w:r>
            <w:r w:rsidRPr="008B3521">
              <w:rPr>
                <w:rFonts w:cs="Arial"/>
                <w:sz w:val="19"/>
                <w:szCs w:val="19"/>
              </w:rPr>
              <w:t>after the award has been made.</w:t>
            </w: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97170" w:rsidTr="008B3521">
        <w:tc>
          <w:tcPr>
            <w:tcW w:w="3078" w:type="dxa"/>
          </w:tcPr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VISA COSTS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Applicable UG Section:</w:t>
            </w:r>
          </w:p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200.463D</w:t>
            </w:r>
          </w:p>
        </w:tc>
        <w:tc>
          <w:tcPr>
            <w:tcW w:w="8010" w:type="dxa"/>
          </w:tcPr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Short-term, travel visa costs can be included on competitive proposal budgets.</w:t>
            </w:r>
          </w:p>
          <w:p w:rsidR="00711894" w:rsidRPr="008B3521" w:rsidRDefault="00711894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B3521">
              <w:rPr>
                <w:rFonts w:cs="Arial"/>
                <w:sz w:val="20"/>
                <w:szCs w:val="20"/>
              </w:rPr>
              <w:t>Since short-term visas are issued for a specific period and purpose, they can be clearly identified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 xml:space="preserve">as directly connected to work performed on a Federal award and can be </w:t>
            </w:r>
            <w:r w:rsidR="001F556A">
              <w:rPr>
                <w:rFonts w:cs="Arial"/>
                <w:sz w:val="20"/>
                <w:szCs w:val="20"/>
              </w:rPr>
              <w:t xml:space="preserve">directly charged. </w:t>
            </w:r>
            <w:r w:rsidRPr="008B3521">
              <w:rPr>
                <w:rFonts w:cs="Arial"/>
                <w:sz w:val="20"/>
                <w:szCs w:val="20"/>
              </w:rPr>
              <w:t>They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must be critical and necessary (directly benefit) the project and be allowable by the agency.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Typically, these visas allow employees and students to engage in field research or attend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meetings in foreign locations, or allow foreign visitors to visit the University in support of the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project. Long-term visa costs, such as those that enable employment at the University (for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example (/J'' and 11H1B'' visas) are not allowable as direct charges.</w:t>
            </w:r>
          </w:p>
          <w:p w:rsidR="00711894" w:rsidRPr="008B3521" w:rsidRDefault="00711894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97170" w:rsidTr="008B3521">
        <w:tc>
          <w:tcPr>
            <w:tcW w:w="3078" w:type="dxa"/>
          </w:tcPr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F&amp;A</w:t>
            </w:r>
            <w:r w:rsidR="00FB1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</w:t>
            </w:r>
            <w:r w:rsidR="00FB18C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UBAWARDS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Applicable UG Section:</w:t>
            </w:r>
          </w:p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200.331</w:t>
            </w:r>
          </w:p>
        </w:tc>
        <w:tc>
          <w:tcPr>
            <w:tcW w:w="8010" w:type="dxa"/>
          </w:tcPr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The subrecipient's negotiated F&amp;A rate or an alternative rate as described below must be used</w:t>
            </w:r>
            <w:r w:rsidR="00711894"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for all subawards in</w:t>
            </w:r>
            <w:r w:rsidR="00711894"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cluded in competitive proposals</w:t>
            </w:r>
            <w:r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.</w:t>
            </w: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B3521">
              <w:rPr>
                <w:rFonts w:cs="Arial"/>
                <w:sz w:val="20"/>
                <w:szCs w:val="20"/>
              </w:rPr>
              <w:t>If a federal program has a published statutory F&amp;A cap, th</w:t>
            </w:r>
            <w:r w:rsidR="001F556A">
              <w:rPr>
                <w:rFonts w:cs="Arial"/>
                <w:sz w:val="20"/>
                <w:szCs w:val="20"/>
              </w:rPr>
              <w:t>at rate must be used both by the University of Utah</w:t>
            </w:r>
            <w:r w:rsidRPr="008B3521">
              <w:rPr>
                <w:rFonts w:cs="Arial"/>
                <w:sz w:val="20"/>
                <w:szCs w:val="20"/>
              </w:rPr>
              <w:t xml:space="preserve"> and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all of its subrecipients. For all other federal programs, if a subrecipient has a federally negotiated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F&amp;A rate, it must be used. If the entity does not have a nego</w:t>
            </w:r>
            <w:r w:rsidR="001F556A">
              <w:rPr>
                <w:rFonts w:cs="Arial"/>
                <w:sz w:val="20"/>
                <w:szCs w:val="20"/>
              </w:rPr>
              <w:t xml:space="preserve">tiated F&amp;A rate, a 10% de </w:t>
            </w:r>
            <w:proofErr w:type="spellStart"/>
            <w:r w:rsidR="001F556A">
              <w:rPr>
                <w:rFonts w:cs="Arial"/>
                <w:sz w:val="20"/>
                <w:szCs w:val="20"/>
              </w:rPr>
              <w:t>minim</w:t>
            </w:r>
            <w:r w:rsidRPr="008B3521">
              <w:rPr>
                <w:rFonts w:cs="Arial"/>
                <w:sz w:val="20"/>
                <w:szCs w:val="20"/>
              </w:rPr>
              <w:t>us</w:t>
            </w:r>
            <w:proofErr w:type="spellEnd"/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F&amp;A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="001F556A">
              <w:rPr>
                <w:rFonts w:cs="Arial"/>
                <w:sz w:val="20"/>
                <w:szCs w:val="20"/>
              </w:rPr>
              <w:t>rate must be used instead;</w:t>
            </w:r>
            <w:r w:rsidRPr="008B3521">
              <w:rPr>
                <w:rFonts w:cs="Arial"/>
                <w:sz w:val="20"/>
                <w:szCs w:val="20"/>
              </w:rPr>
              <w:t xml:space="preserve"> or the PI/department may request</w:t>
            </w:r>
            <w:r w:rsidR="001F556A">
              <w:rPr>
                <w:rFonts w:cs="Arial"/>
                <w:sz w:val="20"/>
                <w:szCs w:val="20"/>
              </w:rPr>
              <w:t xml:space="preserve"> the negotiation of</w:t>
            </w:r>
            <w:r w:rsidRPr="008B3521">
              <w:rPr>
                <w:rFonts w:cs="Arial"/>
                <w:sz w:val="20"/>
                <w:szCs w:val="20"/>
              </w:rPr>
              <w:t xml:space="preserve"> an F&amp;A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rate with the subrecipient. PI’</w:t>
            </w:r>
            <w:r w:rsidRPr="008B3521">
              <w:rPr>
                <w:rFonts w:cs="Arial"/>
                <w:sz w:val="20"/>
                <w:szCs w:val="20"/>
              </w:rPr>
              <w:t>s may not negotiate or agree to lower rates with their subrecipients.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="001F556A">
              <w:rPr>
                <w:rFonts w:cs="Arial"/>
                <w:sz w:val="20"/>
                <w:szCs w:val="20"/>
              </w:rPr>
              <w:t>There is no change to the University of Utah’s</w:t>
            </w:r>
            <w:r w:rsidRPr="008B3521">
              <w:rPr>
                <w:rFonts w:cs="Arial"/>
                <w:sz w:val="20"/>
                <w:szCs w:val="20"/>
              </w:rPr>
              <w:t xml:space="preserve"> recovery of its own F&amp;A</w:t>
            </w:r>
            <w:r w:rsidR="001F556A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- this remains limited to receiving our F&amp;A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on the first $25K of each subaward.</w:t>
            </w:r>
          </w:p>
          <w:p w:rsidR="00497170" w:rsidRPr="008B3521" w:rsidRDefault="00497170" w:rsidP="004971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97170" w:rsidTr="008B3521">
        <w:tc>
          <w:tcPr>
            <w:tcW w:w="3078" w:type="dxa"/>
          </w:tcPr>
          <w:p w:rsidR="00711894" w:rsidRDefault="00711894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FIXED PRICE/RATE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SUBAWARDS</w:t>
            </w: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7170" w:rsidRP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Applicable UG Section:</w:t>
            </w:r>
          </w:p>
          <w:p w:rsidR="00497170" w:rsidRDefault="00497170" w:rsidP="0049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97170">
              <w:rPr>
                <w:rFonts w:ascii="Times New Roman" w:hAnsi="Times New Roman" w:cs="Times New Roman"/>
                <w:b/>
                <w:sz w:val="20"/>
                <w:szCs w:val="20"/>
              </w:rPr>
              <w:t>200.332</w:t>
            </w:r>
          </w:p>
        </w:tc>
        <w:tc>
          <w:tcPr>
            <w:tcW w:w="8010" w:type="dxa"/>
          </w:tcPr>
          <w:p w:rsidR="00497170" w:rsidRPr="008B3521" w:rsidRDefault="00497170" w:rsidP="000311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7170" w:rsidRPr="008B3521" w:rsidRDefault="00497170" w:rsidP="000311E5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Agency prior approval is required to enter into fixed price/rate subawards, which may not</w:t>
            </w:r>
            <w:r w:rsidR="00711894"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b/>
                <w:color w:val="4F81BD" w:themeColor="accent1"/>
                <w:sz w:val="20"/>
                <w:szCs w:val="20"/>
              </w:rPr>
              <w:t>exceed $150k.</w:t>
            </w:r>
          </w:p>
          <w:p w:rsidR="00497170" w:rsidRPr="008B3521" w:rsidRDefault="00497170" w:rsidP="000311E5">
            <w:pPr>
              <w:autoSpaceDE w:val="0"/>
              <w:autoSpaceDN w:val="0"/>
              <w:adjustRightInd w:val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  <w:p w:rsidR="00497170" w:rsidRPr="008B3521" w:rsidRDefault="00497170" w:rsidP="000311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B3521">
              <w:rPr>
                <w:rFonts w:cs="Arial"/>
                <w:sz w:val="20"/>
                <w:szCs w:val="20"/>
              </w:rPr>
              <w:t>Agency prior approval is required to enter into a fixed price/rate subaward rather than a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cost</w:t>
            </w:r>
            <w:r w:rsidR="00711894" w:rsidRPr="008B3521">
              <w:rPr>
                <w:rFonts w:cs="Arial"/>
                <w:sz w:val="20"/>
                <w:szCs w:val="20"/>
              </w:rPr>
              <w:t>-</w:t>
            </w:r>
            <w:r w:rsidRPr="008B3521">
              <w:rPr>
                <w:rFonts w:cs="Arial"/>
                <w:sz w:val="20"/>
                <w:szCs w:val="20"/>
              </w:rPr>
              <w:t>reimbursement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subaward, and the total value of each fixed price/rate subaward may not</w:t>
            </w:r>
            <w:r w:rsidR="00053027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exceed</w:t>
            </w:r>
            <w:r w:rsidR="00053027" w:rsidRPr="008B3521">
              <w:rPr>
                <w:rFonts w:cs="Arial"/>
                <w:sz w:val="20"/>
                <w:szCs w:val="20"/>
              </w:rPr>
              <w:t xml:space="preserve"> </w:t>
            </w:r>
            <w:r w:rsidR="001F556A">
              <w:rPr>
                <w:rFonts w:cs="Arial"/>
                <w:sz w:val="20"/>
                <w:szCs w:val="20"/>
              </w:rPr>
              <w:t>$15</w:t>
            </w:r>
            <w:r w:rsidRPr="008B3521">
              <w:rPr>
                <w:rFonts w:cs="Arial"/>
                <w:sz w:val="20"/>
                <w:szCs w:val="20"/>
              </w:rPr>
              <w:t xml:space="preserve">OK. This will </w:t>
            </w:r>
            <w:r w:rsidR="001F556A">
              <w:rPr>
                <w:rFonts w:cs="Arial"/>
                <w:sz w:val="20"/>
                <w:szCs w:val="20"/>
              </w:rPr>
              <w:t xml:space="preserve">impact </w:t>
            </w:r>
            <w:proofErr w:type="spellStart"/>
            <w:r w:rsidR="001F556A">
              <w:rPr>
                <w:rFonts w:cs="Arial"/>
                <w:sz w:val="20"/>
                <w:szCs w:val="20"/>
              </w:rPr>
              <w:t>subawards</w:t>
            </w:r>
            <w:proofErr w:type="spellEnd"/>
            <w:r w:rsidR="001F556A">
              <w:rPr>
                <w:rFonts w:cs="Arial"/>
                <w:sz w:val="20"/>
                <w:szCs w:val="20"/>
              </w:rPr>
              <w:t xml:space="preserve"> issued by the U of U</w:t>
            </w:r>
            <w:r w:rsidRPr="008B3521">
              <w:rPr>
                <w:rFonts w:cs="Arial"/>
                <w:sz w:val="20"/>
                <w:szCs w:val="20"/>
              </w:rPr>
              <w:t>, which are most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commonly used for clinical trial site agreements, foreign subrecipients, and small businesses. To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expedite agency approval, PI’</w:t>
            </w:r>
            <w:r w:rsidRPr="008B3521">
              <w:rPr>
                <w:rFonts w:cs="Arial"/>
                <w:sz w:val="20"/>
                <w:szCs w:val="20"/>
              </w:rPr>
              <w:t xml:space="preserve">s/departments should add a new justification statement to </w:t>
            </w:r>
            <w:r w:rsidR="008B3521" w:rsidRPr="008B3521">
              <w:rPr>
                <w:rFonts w:cs="Arial"/>
                <w:sz w:val="20"/>
                <w:szCs w:val="20"/>
              </w:rPr>
              <w:t>p</w:t>
            </w:r>
            <w:r w:rsidRPr="008B3521">
              <w:rPr>
                <w:rFonts w:cs="Arial"/>
                <w:sz w:val="20"/>
                <w:szCs w:val="20"/>
              </w:rPr>
              <w:t>roposals</w:t>
            </w:r>
            <w:r w:rsidR="00711894" w:rsidRPr="008B3521">
              <w:rPr>
                <w:rFonts w:cs="Arial"/>
                <w:sz w:val="20"/>
                <w:szCs w:val="20"/>
              </w:rPr>
              <w:t xml:space="preserve"> </w:t>
            </w:r>
            <w:r w:rsidRPr="008B3521">
              <w:rPr>
                <w:rFonts w:cs="Arial"/>
                <w:sz w:val="20"/>
                <w:szCs w:val="20"/>
              </w:rPr>
              <w:t>contemplating a fixed price/rate subaward. A statement is not needed for other subawards.</w:t>
            </w:r>
          </w:p>
          <w:p w:rsidR="00497170" w:rsidRPr="008B3521" w:rsidRDefault="00497170" w:rsidP="000311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B26FA0" w:rsidRPr="00B26FA0" w:rsidRDefault="00B26FA0" w:rsidP="00B26F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sectPr w:rsidR="00B26FA0" w:rsidRPr="00B26FA0" w:rsidSect="00B26F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1F" w:rsidRDefault="0087671F" w:rsidP="00711894">
      <w:pPr>
        <w:spacing w:after="0" w:line="240" w:lineRule="auto"/>
      </w:pPr>
      <w:r>
        <w:separator/>
      </w:r>
    </w:p>
  </w:endnote>
  <w:endnote w:type="continuationSeparator" w:id="0">
    <w:p w:rsidR="0087671F" w:rsidRDefault="0087671F" w:rsidP="0071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1F" w:rsidRDefault="0087671F" w:rsidP="00711894">
      <w:pPr>
        <w:spacing w:after="0" w:line="240" w:lineRule="auto"/>
      </w:pPr>
      <w:r>
        <w:separator/>
      </w:r>
    </w:p>
  </w:footnote>
  <w:footnote w:type="continuationSeparator" w:id="0">
    <w:p w:rsidR="0087671F" w:rsidRDefault="0087671F" w:rsidP="0071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711894" w:rsidTr="00053027">
      <w:trPr>
        <w:trHeight w:val="533"/>
      </w:trPr>
      <w:tc>
        <w:tcPr>
          <w:tcW w:w="5508" w:type="dxa"/>
          <w:shd w:val="clear" w:color="auto" w:fill="C00000"/>
          <w:vAlign w:val="center"/>
        </w:tcPr>
        <w:p w:rsidR="00711894" w:rsidRPr="00053027" w:rsidRDefault="00711894" w:rsidP="00711894">
          <w:pPr>
            <w:pStyle w:val="Header"/>
            <w:jc w:val="center"/>
            <w:rPr>
              <w:b/>
              <w:sz w:val="28"/>
              <w:szCs w:val="28"/>
            </w:rPr>
          </w:pPr>
          <w:r w:rsidRPr="00053027">
            <w:rPr>
              <w:b/>
              <w:sz w:val="28"/>
              <w:szCs w:val="28"/>
            </w:rPr>
            <w:t>Uniform Guidance Implementation</w:t>
          </w:r>
        </w:p>
      </w:tc>
      <w:tc>
        <w:tcPr>
          <w:tcW w:w="5508" w:type="dxa"/>
          <w:vAlign w:val="center"/>
        </w:tcPr>
        <w:p w:rsidR="00711894" w:rsidRPr="00053027" w:rsidRDefault="00053027" w:rsidP="00053027">
          <w:pPr>
            <w:pStyle w:val="Header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2918128" cy="213986"/>
                <wp:effectExtent l="0" t="0" r="0" b="0"/>
                <wp:docPr id="2" name="Picture 2" descr="C:\Users\u0958421\AppData\Local\Microsoft\Windows\Temporary Internet Files\Content.Word\UlogoH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0958421\AppData\Local\Microsoft\Windows\Temporary Internet Files\Content.Word\UlogoH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8192" cy="213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1894" w:rsidRDefault="007118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F3F"/>
    <w:multiLevelType w:val="hybridMultilevel"/>
    <w:tmpl w:val="1C764552"/>
    <w:lvl w:ilvl="0" w:tplc="31BA058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A0FF6"/>
    <w:multiLevelType w:val="hybridMultilevel"/>
    <w:tmpl w:val="01F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52D55"/>
    <w:multiLevelType w:val="hybridMultilevel"/>
    <w:tmpl w:val="B84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0"/>
    <w:rsid w:val="00053027"/>
    <w:rsid w:val="00153911"/>
    <w:rsid w:val="001F556A"/>
    <w:rsid w:val="00405DCF"/>
    <w:rsid w:val="00442AA4"/>
    <w:rsid w:val="00466E1E"/>
    <w:rsid w:val="00497170"/>
    <w:rsid w:val="004A73A4"/>
    <w:rsid w:val="00711894"/>
    <w:rsid w:val="007F69A1"/>
    <w:rsid w:val="0087671F"/>
    <w:rsid w:val="008B3521"/>
    <w:rsid w:val="00B26FA0"/>
    <w:rsid w:val="00D13D12"/>
    <w:rsid w:val="00F86F38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4"/>
  </w:style>
  <w:style w:type="paragraph" w:styleId="Footer">
    <w:name w:val="footer"/>
    <w:basedOn w:val="Normal"/>
    <w:link w:val="FooterChar"/>
    <w:uiPriority w:val="99"/>
    <w:unhideWhenUsed/>
    <w:rsid w:val="0071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94"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4"/>
  </w:style>
  <w:style w:type="paragraph" w:styleId="Footer">
    <w:name w:val="footer"/>
    <w:basedOn w:val="Normal"/>
    <w:link w:val="FooterChar"/>
    <w:uiPriority w:val="99"/>
    <w:unhideWhenUsed/>
    <w:rsid w:val="0071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94"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Merritt</dc:creator>
  <cp:lastModifiedBy>Sponsored Projects</cp:lastModifiedBy>
  <cp:revision>2</cp:revision>
  <cp:lastPrinted>2014-11-12T21:00:00Z</cp:lastPrinted>
  <dcterms:created xsi:type="dcterms:W3CDTF">2014-11-12T21:45:00Z</dcterms:created>
  <dcterms:modified xsi:type="dcterms:W3CDTF">2014-11-12T21:45:00Z</dcterms:modified>
</cp:coreProperties>
</file>